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2E" w:rsidRPr="00346988" w:rsidRDefault="00D5512E" w:rsidP="00D5512E">
      <w:pPr>
        <w:spacing w:afterLines="50" w:after="180" w:line="340" w:lineRule="exact"/>
        <w:jc w:val="center"/>
        <w:rPr>
          <w:rFonts w:eastAsia="標楷體"/>
          <w:b/>
          <w:bCs/>
          <w:sz w:val="36"/>
        </w:rPr>
      </w:pPr>
      <w:bookmarkStart w:id="0" w:name="_GoBack"/>
      <w:bookmarkEnd w:id="0"/>
      <w:r w:rsidRPr="00346988">
        <w:rPr>
          <w:rFonts w:eastAsia="標楷體"/>
          <w:b/>
          <w:bCs/>
          <w:spacing w:val="40"/>
          <w:sz w:val="32"/>
        </w:rPr>
        <w:t>國立高雄師範大學教學綱要</w:t>
      </w:r>
      <w:r w:rsidRPr="00346988">
        <w:rPr>
          <w:rFonts w:eastAsia="標楷體"/>
          <w:b/>
          <w:bCs/>
          <w:spacing w:val="40"/>
          <w:sz w:val="32"/>
        </w:rPr>
        <w:t>( 1</w:t>
      </w:r>
      <w:r w:rsidR="00C36D9E" w:rsidRPr="00346988">
        <w:rPr>
          <w:rFonts w:eastAsia="標楷體"/>
          <w:b/>
          <w:bCs/>
          <w:spacing w:val="40"/>
          <w:sz w:val="32"/>
        </w:rPr>
        <w:t>1</w:t>
      </w:r>
      <w:r w:rsidR="00C8042B" w:rsidRPr="00346988">
        <w:rPr>
          <w:rFonts w:eastAsia="標楷體"/>
          <w:b/>
          <w:bCs/>
          <w:spacing w:val="40"/>
          <w:sz w:val="32"/>
        </w:rPr>
        <w:t>2</w:t>
      </w:r>
      <w:r w:rsidRPr="00346988">
        <w:rPr>
          <w:rFonts w:eastAsia="標楷體"/>
          <w:b/>
          <w:bCs/>
          <w:spacing w:val="40"/>
          <w:sz w:val="32"/>
        </w:rPr>
        <w:t>學年</w:t>
      </w:r>
      <w:r w:rsidRPr="00346988">
        <w:rPr>
          <w:rFonts w:eastAsia="標楷體"/>
          <w:b/>
          <w:bCs/>
          <w:spacing w:val="40"/>
          <w:sz w:val="32"/>
        </w:rPr>
        <w:t>)</w:t>
      </w:r>
    </w:p>
    <w:p w:rsidR="00D5512E" w:rsidRPr="00346988" w:rsidRDefault="00D5512E" w:rsidP="00D5512E">
      <w:pPr>
        <w:spacing w:line="340" w:lineRule="exact"/>
        <w:rPr>
          <w:rFonts w:eastAsia="標楷體"/>
        </w:rPr>
      </w:pPr>
      <w:r w:rsidRPr="00346988">
        <w:rPr>
          <w:rFonts w:eastAsia="標楷體"/>
        </w:rPr>
        <w:t>科目名稱：</w:t>
      </w:r>
      <w:r w:rsidRPr="00346988">
        <w:rPr>
          <w:rFonts w:eastAsia="標楷體"/>
        </w:rPr>
        <w:t xml:space="preserve">  </w:t>
      </w:r>
      <w:r w:rsidRPr="00346988">
        <w:rPr>
          <w:rFonts w:eastAsia="標楷體"/>
        </w:rPr>
        <w:t>性別教育教學策略研究</w:t>
      </w:r>
      <w:r w:rsidRPr="00346988">
        <w:rPr>
          <w:rFonts w:eastAsia="標楷體"/>
        </w:rPr>
        <w:t xml:space="preserve">      □</w:t>
      </w:r>
      <w:r w:rsidRPr="00346988">
        <w:rPr>
          <w:rFonts w:eastAsia="標楷體"/>
        </w:rPr>
        <w:t>必修</w:t>
      </w:r>
      <w:r w:rsidRPr="00346988">
        <w:rPr>
          <w:rFonts w:eastAsia="標楷體"/>
        </w:rPr>
        <w:t xml:space="preserve">  █</w:t>
      </w:r>
      <w:r w:rsidRPr="00346988">
        <w:rPr>
          <w:rFonts w:eastAsia="標楷體"/>
        </w:rPr>
        <w:t>選修</w:t>
      </w:r>
      <w:r w:rsidRPr="00346988">
        <w:rPr>
          <w:rFonts w:eastAsia="標楷體"/>
        </w:rPr>
        <w:t xml:space="preserve">   </w:t>
      </w:r>
      <w:r w:rsidRPr="00346988">
        <w:rPr>
          <w:rFonts w:eastAsia="標楷體"/>
        </w:rPr>
        <w:t>教師：游美惠</w:t>
      </w:r>
    </w:p>
    <w:p w:rsidR="00D5512E" w:rsidRPr="00346988" w:rsidRDefault="00D5512E" w:rsidP="00D5512E">
      <w:pPr>
        <w:spacing w:line="340" w:lineRule="exact"/>
        <w:rPr>
          <w:rFonts w:eastAsia="標楷體"/>
        </w:rPr>
      </w:pPr>
      <w:r w:rsidRPr="00346988">
        <w:rPr>
          <w:rFonts w:eastAsia="標楷體"/>
        </w:rPr>
        <w:t>任課班級：性別教育所碩士班</w:t>
      </w:r>
    </w:p>
    <w:p w:rsidR="00D5512E" w:rsidRPr="00346988" w:rsidRDefault="00D5512E" w:rsidP="00D5512E">
      <w:pPr>
        <w:spacing w:line="340" w:lineRule="exact"/>
        <w:rPr>
          <w:rFonts w:eastAsia="標楷體"/>
        </w:rPr>
      </w:pPr>
      <w:r w:rsidRPr="00346988">
        <w:rPr>
          <w:rFonts w:eastAsia="標楷體"/>
        </w:rPr>
        <w:t>總學分數：</w:t>
      </w:r>
      <w:r w:rsidRPr="00346988">
        <w:rPr>
          <w:rFonts w:eastAsia="標楷體"/>
          <w:u w:val="single"/>
        </w:rPr>
        <w:t xml:space="preserve">  3   </w:t>
      </w:r>
      <w:r w:rsidRPr="00346988">
        <w:rPr>
          <w:rFonts w:eastAsia="標楷體"/>
        </w:rPr>
        <w:t>學分</w:t>
      </w:r>
      <w:r w:rsidRPr="00346988">
        <w:rPr>
          <w:rFonts w:eastAsia="標楷體"/>
        </w:rPr>
        <w:t xml:space="preserve">   </w:t>
      </w:r>
      <w:r w:rsidRPr="00346988">
        <w:rPr>
          <w:rFonts w:eastAsia="標楷體"/>
        </w:rPr>
        <w:t>每週上課時數：</w:t>
      </w:r>
      <w:r w:rsidRPr="00346988">
        <w:rPr>
          <w:rFonts w:eastAsia="標楷體"/>
          <w:u w:val="single"/>
        </w:rPr>
        <w:t xml:space="preserve">   3  </w:t>
      </w:r>
      <w:r w:rsidRPr="00346988">
        <w:rPr>
          <w:rFonts w:eastAsia="標楷體"/>
        </w:rPr>
        <w:t>小時</w:t>
      </w:r>
    </w:p>
    <w:p w:rsidR="00D5512E" w:rsidRPr="00346988" w:rsidRDefault="00D5512E" w:rsidP="00D5512E">
      <w:pPr>
        <w:spacing w:line="340" w:lineRule="exact"/>
        <w:rPr>
          <w:rFonts w:eastAsia="標楷體"/>
        </w:rPr>
      </w:pPr>
      <w:r w:rsidRPr="00346988">
        <w:rPr>
          <w:rFonts w:eastAsia="標楷體"/>
        </w:rPr>
        <w:t>連繫電話：</w:t>
      </w:r>
      <w:r w:rsidRPr="00346988">
        <w:rPr>
          <w:rFonts w:eastAsia="標楷體"/>
        </w:rPr>
        <w:t>07-7172930</w:t>
      </w:r>
      <w:r w:rsidRPr="00346988">
        <w:rPr>
          <w:rFonts w:eastAsia="標楷體"/>
        </w:rPr>
        <w:t>轉</w:t>
      </w:r>
      <w:r w:rsidRPr="00346988">
        <w:rPr>
          <w:rFonts w:eastAsia="標楷體"/>
        </w:rPr>
        <w:t>2012</w:t>
      </w:r>
      <w:r w:rsidRPr="00346988">
        <w:rPr>
          <w:rFonts w:eastAsia="標楷體"/>
        </w:rPr>
        <w:t>或</w:t>
      </w:r>
      <w:r w:rsidR="005500C1" w:rsidRPr="00346988">
        <w:rPr>
          <w:rFonts w:eastAsia="標楷體"/>
        </w:rPr>
        <w:t>8716</w:t>
      </w:r>
      <w:r w:rsidRPr="00346988">
        <w:rPr>
          <w:rFonts w:eastAsia="標楷體"/>
        </w:rPr>
        <w:t xml:space="preserve">              </w:t>
      </w:r>
    </w:p>
    <w:p w:rsidR="00D5512E" w:rsidRPr="00346988" w:rsidRDefault="00D5512E" w:rsidP="00D5512E">
      <w:pPr>
        <w:spacing w:line="340" w:lineRule="exact"/>
        <w:rPr>
          <w:rFonts w:eastAsia="標楷體"/>
        </w:rPr>
      </w:pPr>
      <w:r w:rsidRPr="00346988">
        <w:rPr>
          <w:rFonts w:eastAsia="標楷體"/>
        </w:rPr>
        <w:t>辦公時間（</w:t>
      </w:r>
      <w:r w:rsidRPr="00346988">
        <w:rPr>
          <w:rFonts w:eastAsia="標楷體"/>
        </w:rPr>
        <w:t>office hour</w:t>
      </w:r>
      <w:r w:rsidRPr="00346988">
        <w:rPr>
          <w:rFonts w:eastAsia="標楷體"/>
        </w:rPr>
        <w:t>）：</w:t>
      </w:r>
      <w:r w:rsidRPr="00346988">
        <w:rPr>
          <w:rFonts w:eastAsia="標楷體"/>
        </w:rPr>
        <w:t xml:space="preserve">by appointment </w:t>
      </w:r>
    </w:p>
    <w:p w:rsidR="00D5512E" w:rsidRPr="00346988" w:rsidRDefault="00D5512E" w:rsidP="00D5512E">
      <w:pPr>
        <w:spacing w:line="340" w:lineRule="exact"/>
        <w:rPr>
          <w:rFonts w:eastAsia="標楷體"/>
          <w:u w:val="single"/>
        </w:rPr>
      </w:pPr>
    </w:p>
    <w:p w:rsidR="00D5512E" w:rsidRPr="00346988" w:rsidRDefault="00D5512E" w:rsidP="00D5512E">
      <w:pPr>
        <w:spacing w:line="340" w:lineRule="exact"/>
        <w:jc w:val="center"/>
        <w:rPr>
          <w:rFonts w:eastAsia="標楷體"/>
          <w:b/>
          <w:shd w:val="pct15" w:color="auto" w:fill="FFFFFF"/>
        </w:rPr>
      </w:pPr>
      <w:r w:rsidRPr="00346988">
        <w:rPr>
          <w:rFonts w:eastAsia="標楷體"/>
          <w:b/>
          <w:shd w:val="pct15" w:color="auto" w:fill="FFFFFF"/>
        </w:rPr>
        <w:t>※※</w:t>
      </w:r>
      <w:r w:rsidRPr="00346988">
        <w:rPr>
          <w:rFonts w:eastAsia="標楷體"/>
          <w:b/>
          <w:shd w:val="pct15" w:color="auto" w:fill="FFFFFF"/>
        </w:rPr>
        <w:t>請遵守智慧財產權觀念、不得非法影印</w:t>
      </w:r>
      <w:r w:rsidRPr="00346988">
        <w:rPr>
          <w:rFonts w:eastAsia="標楷體"/>
          <w:b/>
          <w:shd w:val="pct15" w:color="auto" w:fill="FFFFFF"/>
        </w:rPr>
        <w:t>※※</w:t>
      </w:r>
    </w:p>
    <w:p w:rsidR="00D5512E" w:rsidRPr="00346988" w:rsidRDefault="00D5512E" w:rsidP="00D5512E">
      <w:pPr>
        <w:spacing w:line="340" w:lineRule="exact"/>
        <w:jc w:val="center"/>
        <w:rPr>
          <w:rFonts w:eastAsia="標楷體"/>
          <w:b/>
          <w:shd w:val="pct15" w:color="auto" w:fill="FFFFFF"/>
        </w:rPr>
      </w:pPr>
    </w:p>
    <w:p w:rsidR="00D5512E" w:rsidRPr="00346988" w:rsidRDefault="00D5512E" w:rsidP="00D5512E">
      <w:pPr>
        <w:numPr>
          <w:ilvl w:val="0"/>
          <w:numId w:val="1"/>
        </w:numPr>
        <w:spacing w:line="340" w:lineRule="exact"/>
        <w:rPr>
          <w:rFonts w:eastAsia="標楷體"/>
          <w:b/>
        </w:rPr>
      </w:pPr>
      <w:r w:rsidRPr="00346988">
        <w:rPr>
          <w:rFonts w:eastAsia="標楷體"/>
          <w:b/>
        </w:rPr>
        <w:t>課程概述：</w:t>
      </w:r>
    </w:p>
    <w:p w:rsidR="00D5512E" w:rsidRPr="00346988" w:rsidRDefault="00D5512E" w:rsidP="00D5512E">
      <w:pPr>
        <w:spacing w:line="340" w:lineRule="exact"/>
        <w:rPr>
          <w:rFonts w:eastAsia="標楷體"/>
        </w:rPr>
      </w:pPr>
      <w:r w:rsidRPr="00346988">
        <w:rPr>
          <w:rFonts w:eastAsia="標楷體"/>
        </w:rPr>
        <w:t>本課程的內容將探討性別教育相關教學策略，包括情感教育、性教育與同志教育等主題的教學策略。除了將介紹本土已經研發出的性別教育教學資源並探討其在教育現場運用可能性之外，也將研讀國外相關文獻，希望藉由本課程，學生能充實相關知能以發展出更多有效的性別教育教學策略，且能靈活將之運用在各種教學現場</w:t>
      </w:r>
      <w:r w:rsidRPr="00346988">
        <w:rPr>
          <w:rFonts w:eastAsia="標楷體"/>
        </w:rPr>
        <w:t>(</w:t>
      </w:r>
      <w:r w:rsidR="00A00F33" w:rsidRPr="00346988">
        <w:rPr>
          <w:rFonts w:eastAsia="標楷體"/>
        </w:rPr>
        <w:t>包</w:t>
      </w:r>
      <w:r w:rsidRPr="00346988">
        <w:rPr>
          <w:rFonts w:eastAsia="標楷體"/>
        </w:rPr>
        <w:t>含國民教育各學習階段、大專校院或家庭教育、社會教育等場域</w:t>
      </w:r>
      <w:r w:rsidRPr="00346988">
        <w:rPr>
          <w:rFonts w:eastAsia="標楷體"/>
        </w:rPr>
        <w:t>)</w:t>
      </w:r>
      <w:r w:rsidRPr="00346988">
        <w:rPr>
          <w:rFonts w:eastAsia="標楷體"/>
        </w:rPr>
        <w:t>進行有效教學，成為一個具有批判思考和行動力的性別教育工作者，對性別</w:t>
      </w:r>
      <w:r w:rsidR="00A00F33" w:rsidRPr="00346988">
        <w:rPr>
          <w:rFonts w:eastAsia="標楷體"/>
        </w:rPr>
        <w:t>平等</w:t>
      </w:r>
      <w:r w:rsidRPr="00346988">
        <w:rPr>
          <w:rFonts w:eastAsia="標楷體"/>
        </w:rPr>
        <w:t>教育的推動有更多的貢獻。</w:t>
      </w:r>
    </w:p>
    <w:p w:rsidR="00D5512E" w:rsidRPr="00346988" w:rsidRDefault="00D5512E" w:rsidP="00D5512E">
      <w:pPr>
        <w:spacing w:line="340" w:lineRule="exact"/>
        <w:rPr>
          <w:rFonts w:eastAsia="標楷體"/>
          <w:b/>
        </w:rPr>
      </w:pPr>
    </w:p>
    <w:p w:rsidR="00D5512E" w:rsidRPr="00346988" w:rsidRDefault="00D5512E" w:rsidP="00D5512E">
      <w:pPr>
        <w:numPr>
          <w:ilvl w:val="0"/>
          <w:numId w:val="1"/>
        </w:numPr>
        <w:spacing w:line="340" w:lineRule="exact"/>
        <w:rPr>
          <w:rFonts w:eastAsia="標楷體"/>
          <w:b/>
        </w:rPr>
      </w:pPr>
      <w:r w:rsidRPr="00346988">
        <w:rPr>
          <w:rFonts w:eastAsia="標楷體"/>
          <w:b/>
        </w:rPr>
        <w:t>教學目標：</w:t>
      </w:r>
    </w:p>
    <w:p w:rsidR="00D5512E" w:rsidRPr="00346988" w:rsidRDefault="00D5512E" w:rsidP="00D5512E">
      <w:pPr>
        <w:spacing w:line="340" w:lineRule="exact"/>
        <w:rPr>
          <w:rFonts w:eastAsia="標楷體"/>
          <w:color w:val="000000"/>
        </w:rPr>
      </w:pPr>
      <w:r w:rsidRPr="00346988">
        <w:rPr>
          <w:rFonts w:eastAsia="標楷體"/>
          <w:color w:val="000000"/>
        </w:rPr>
        <w:t>1.</w:t>
      </w:r>
      <w:r w:rsidRPr="00346988">
        <w:rPr>
          <w:rFonts w:eastAsia="標楷體"/>
        </w:rPr>
        <w:t>研讀國內外相關文獻並能評析其優缺點與實用性</w:t>
      </w:r>
    </w:p>
    <w:p w:rsidR="00D5512E" w:rsidRPr="00346988" w:rsidRDefault="00D5512E" w:rsidP="00D5512E">
      <w:pPr>
        <w:spacing w:line="340" w:lineRule="exact"/>
        <w:rPr>
          <w:rFonts w:eastAsia="標楷體"/>
          <w:color w:val="000000"/>
        </w:rPr>
      </w:pPr>
      <w:r w:rsidRPr="00346988">
        <w:rPr>
          <w:rFonts w:eastAsia="標楷體"/>
          <w:color w:val="000000"/>
        </w:rPr>
        <w:t>2.</w:t>
      </w:r>
      <w:r w:rsidR="00A00F33" w:rsidRPr="00346988">
        <w:rPr>
          <w:rFonts w:eastAsia="標楷體"/>
          <w:color w:val="000000"/>
        </w:rPr>
        <w:t>發展</w:t>
      </w:r>
      <w:r w:rsidRPr="00346988">
        <w:rPr>
          <w:rFonts w:eastAsia="標楷體"/>
          <w:color w:val="000000"/>
        </w:rPr>
        <w:t>性別教育相關教學知能。</w:t>
      </w:r>
    </w:p>
    <w:p w:rsidR="00D5512E" w:rsidRPr="00346988" w:rsidRDefault="00D5512E" w:rsidP="00D5512E">
      <w:pPr>
        <w:spacing w:line="340" w:lineRule="exact"/>
        <w:rPr>
          <w:rFonts w:eastAsia="標楷體"/>
          <w:color w:val="000000"/>
        </w:rPr>
      </w:pPr>
      <w:r w:rsidRPr="00346988">
        <w:rPr>
          <w:rFonts w:eastAsia="標楷體"/>
          <w:color w:val="000000"/>
        </w:rPr>
        <w:t>3.</w:t>
      </w:r>
      <w:r w:rsidR="00A00F33" w:rsidRPr="00346988">
        <w:rPr>
          <w:rFonts w:eastAsia="標楷體"/>
          <w:color w:val="000000"/>
        </w:rPr>
        <w:t>研發性別教育</w:t>
      </w:r>
      <w:r w:rsidRPr="00346988">
        <w:rPr>
          <w:rFonts w:eastAsia="標楷體"/>
          <w:color w:val="000000"/>
        </w:rPr>
        <w:t>教學策略，進而能靈活運用，達到教學成效。</w:t>
      </w:r>
    </w:p>
    <w:p w:rsidR="00D5512E" w:rsidRPr="00346988" w:rsidRDefault="00D5512E" w:rsidP="00D5512E">
      <w:pPr>
        <w:spacing w:line="340" w:lineRule="exact"/>
        <w:rPr>
          <w:rFonts w:eastAsia="標楷體"/>
          <w:b/>
          <w:color w:val="000000"/>
        </w:rPr>
      </w:pPr>
    </w:p>
    <w:p w:rsidR="00D5512E" w:rsidRPr="00346988" w:rsidRDefault="00D5512E" w:rsidP="00D5512E">
      <w:pPr>
        <w:spacing w:line="340" w:lineRule="exact"/>
        <w:rPr>
          <w:rFonts w:eastAsia="標楷體"/>
        </w:rPr>
      </w:pPr>
      <w:r w:rsidRPr="00346988">
        <w:rPr>
          <w:rFonts w:eastAsia="標楷體"/>
          <w:b/>
          <w:color w:val="000000"/>
        </w:rPr>
        <w:t>三、</w:t>
      </w:r>
      <w:r w:rsidRPr="00346988">
        <w:rPr>
          <w:rFonts w:eastAsia="標楷體"/>
          <w:b/>
        </w:rPr>
        <w:t>核心能力指標：</w:t>
      </w:r>
    </w:p>
    <w:tbl>
      <w:tblPr>
        <w:tblpPr w:leftFromText="180" w:rightFromText="180" w:vertAnchor="text" w:horzAnchor="margin" w:tblpY="287"/>
        <w:tblW w:w="4879"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88"/>
        <w:gridCol w:w="972"/>
        <w:gridCol w:w="1134"/>
        <w:gridCol w:w="993"/>
        <w:gridCol w:w="992"/>
        <w:gridCol w:w="849"/>
        <w:gridCol w:w="1031"/>
        <w:gridCol w:w="830"/>
      </w:tblGrid>
      <w:tr w:rsidR="00D5512E" w:rsidRPr="00346988" w:rsidTr="00A00F33">
        <w:trPr>
          <w:trHeight w:val="450"/>
          <w:tblCellSpacing w:w="0" w:type="dxa"/>
        </w:trPr>
        <w:tc>
          <w:tcPr>
            <w:tcW w:w="796"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18"/>
                <w:szCs w:val="18"/>
              </w:rPr>
            </w:pPr>
            <w:r w:rsidRPr="00346988">
              <w:rPr>
                <w:rFonts w:eastAsia="標楷體"/>
                <w:b/>
                <w:bCs/>
                <w:kern w:val="0"/>
                <w:sz w:val="18"/>
                <w:szCs w:val="18"/>
              </w:rPr>
              <w:t>核心能力</w:t>
            </w:r>
          </w:p>
        </w:tc>
        <w:tc>
          <w:tcPr>
            <w:tcW w:w="1916" w:type="pct"/>
            <w:gridSpan w:val="3"/>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18"/>
                <w:szCs w:val="18"/>
              </w:rPr>
            </w:pPr>
            <w:r w:rsidRPr="00346988">
              <w:rPr>
                <w:rFonts w:eastAsia="標楷體"/>
                <w:b/>
                <w:bCs/>
                <w:kern w:val="0"/>
                <w:sz w:val="18"/>
                <w:szCs w:val="18"/>
              </w:rPr>
              <w:t>研究生能力</w:t>
            </w:r>
          </w:p>
        </w:tc>
        <w:tc>
          <w:tcPr>
            <w:tcW w:w="2288" w:type="pct"/>
            <w:gridSpan w:val="4"/>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18"/>
                <w:szCs w:val="18"/>
              </w:rPr>
            </w:pPr>
            <w:r w:rsidRPr="00346988">
              <w:rPr>
                <w:rFonts w:eastAsia="標楷體"/>
                <w:b/>
                <w:bCs/>
                <w:kern w:val="0"/>
                <w:sz w:val="18"/>
                <w:szCs w:val="18"/>
              </w:rPr>
              <w:t>所專門能力</w:t>
            </w:r>
          </w:p>
        </w:tc>
      </w:tr>
      <w:tr w:rsidR="00D5512E" w:rsidRPr="00346988" w:rsidTr="00A00F33">
        <w:trPr>
          <w:trHeight w:val="450"/>
          <w:tblCellSpacing w:w="0" w:type="dxa"/>
        </w:trPr>
        <w:tc>
          <w:tcPr>
            <w:tcW w:w="796" w:type="pct"/>
            <w:tcBorders>
              <w:top w:val="dotted" w:sz="6" w:space="0" w:color="CCCCCC"/>
              <w:left w:val="dotted" w:sz="6" w:space="0" w:color="CCCCCC"/>
              <w:bottom w:val="dotted" w:sz="6" w:space="0" w:color="CCCCCC"/>
              <w:right w:val="dotted" w:sz="6" w:space="0" w:color="CCCCCC"/>
            </w:tcBorders>
            <w:shd w:val="clear" w:color="auto" w:fill="FFCCFF"/>
            <w:vAlign w:val="center"/>
          </w:tcPr>
          <w:p w:rsidR="00D5512E" w:rsidRPr="00346988" w:rsidRDefault="00D5512E" w:rsidP="00EA02F7">
            <w:pPr>
              <w:widowControl/>
              <w:jc w:val="center"/>
              <w:rPr>
                <w:rFonts w:eastAsia="標楷體"/>
                <w:b/>
                <w:bCs/>
                <w:kern w:val="0"/>
                <w:sz w:val="18"/>
                <w:szCs w:val="18"/>
              </w:rPr>
            </w:pPr>
            <w:r w:rsidRPr="00346988">
              <w:rPr>
                <w:rFonts w:eastAsia="標楷體"/>
                <w:b/>
                <w:bCs/>
                <w:kern w:val="0"/>
                <w:sz w:val="18"/>
                <w:szCs w:val="18"/>
              </w:rPr>
              <w:t>系所課程</w:t>
            </w:r>
          </w:p>
        </w:tc>
        <w:tc>
          <w:tcPr>
            <w:tcW w:w="601"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1</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創新思考能力</w:t>
            </w:r>
          </w:p>
        </w:tc>
        <w:tc>
          <w:tcPr>
            <w:tcW w:w="701"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2</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國際化能力</w:t>
            </w:r>
          </w:p>
        </w:tc>
        <w:tc>
          <w:tcPr>
            <w:tcW w:w="614"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3</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終身學習能力</w:t>
            </w:r>
          </w:p>
        </w:tc>
        <w:tc>
          <w:tcPr>
            <w:tcW w:w="613"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4</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性別教育專業能力</w:t>
            </w:r>
          </w:p>
        </w:tc>
        <w:tc>
          <w:tcPr>
            <w:tcW w:w="525"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5</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性別研究能力</w:t>
            </w:r>
          </w:p>
        </w:tc>
        <w:tc>
          <w:tcPr>
            <w:tcW w:w="637"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6</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批判思考與行動能力</w:t>
            </w:r>
          </w:p>
        </w:tc>
        <w:tc>
          <w:tcPr>
            <w:tcW w:w="513"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7</w:t>
            </w:r>
          </w:p>
          <w:p w:rsidR="00D5512E" w:rsidRPr="00346988" w:rsidRDefault="00D5512E" w:rsidP="00EA02F7">
            <w:pPr>
              <w:widowControl/>
              <w:jc w:val="center"/>
              <w:rPr>
                <w:rFonts w:eastAsia="標楷體"/>
                <w:b/>
                <w:bCs/>
                <w:kern w:val="0"/>
                <w:sz w:val="20"/>
                <w:szCs w:val="20"/>
              </w:rPr>
            </w:pPr>
            <w:r w:rsidRPr="00346988">
              <w:rPr>
                <w:rFonts w:eastAsia="標楷體"/>
                <w:b/>
                <w:bCs/>
                <w:kern w:val="0"/>
                <w:sz w:val="20"/>
                <w:szCs w:val="20"/>
              </w:rPr>
              <w:t>性別關懷的助人能力</w:t>
            </w:r>
          </w:p>
        </w:tc>
      </w:tr>
      <w:tr w:rsidR="00D5512E" w:rsidRPr="00346988" w:rsidTr="00A00F33">
        <w:trPr>
          <w:trHeight w:val="450"/>
          <w:tblCellSpacing w:w="0" w:type="dxa"/>
        </w:trPr>
        <w:tc>
          <w:tcPr>
            <w:tcW w:w="796" w:type="pct"/>
            <w:tcBorders>
              <w:top w:val="dotted" w:sz="6" w:space="0" w:color="CCCCCC"/>
              <w:left w:val="dotted" w:sz="6" w:space="0" w:color="CCCCCC"/>
              <w:bottom w:val="dotted" w:sz="6" w:space="0" w:color="CCCCCC"/>
              <w:right w:val="dotted" w:sz="6" w:space="0" w:color="CCCCCC"/>
            </w:tcBorders>
            <w:shd w:val="clear" w:color="auto" w:fill="FFCCFF"/>
            <w:vAlign w:val="center"/>
          </w:tcPr>
          <w:p w:rsidR="00D5512E" w:rsidRPr="00346988" w:rsidRDefault="00D5512E" w:rsidP="00EA02F7">
            <w:pPr>
              <w:widowControl/>
              <w:rPr>
                <w:rFonts w:eastAsia="標楷體"/>
                <w:b/>
                <w:bCs/>
                <w:kern w:val="0"/>
                <w:sz w:val="18"/>
                <w:szCs w:val="18"/>
              </w:rPr>
            </w:pPr>
            <w:r w:rsidRPr="00346988">
              <w:rPr>
                <w:rFonts w:eastAsia="標楷體"/>
                <w:b/>
                <w:bCs/>
                <w:kern w:val="0"/>
                <w:sz w:val="18"/>
                <w:szCs w:val="18"/>
              </w:rPr>
              <w:t>性別教育</w:t>
            </w:r>
          </w:p>
          <w:p w:rsidR="00D5512E" w:rsidRPr="00346988" w:rsidRDefault="00D5512E" w:rsidP="00EA02F7">
            <w:pPr>
              <w:widowControl/>
              <w:rPr>
                <w:rFonts w:eastAsia="標楷體"/>
                <w:b/>
                <w:bCs/>
                <w:kern w:val="0"/>
                <w:sz w:val="18"/>
                <w:szCs w:val="18"/>
              </w:rPr>
            </w:pPr>
            <w:r w:rsidRPr="00346988">
              <w:rPr>
                <w:rFonts w:eastAsia="標楷體"/>
                <w:b/>
                <w:bCs/>
                <w:kern w:val="0"/>
                <w:sz w:val="18"/>
                <w:szCs w:val="18"/>
              </w:rPr>
              <w:t>教學策略研究</w:t>
            </w:r>
          </w:p>
        </w:tc>
        <w:tc>
          <w:tcPr>
            <w:tcW w:w="601"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10%</w:t>
            </w:r>
          </w:p>
        </w:tc>
        <w:tc>
          <w:tcPr>
            <w:tcW w:w="701"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10%</w:t>
            </w:r>
          </w:p>
        </w:tc>
        <w:tc>
          <w:tcPr>
            <w:tcW w:w="614"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10%</w:t>
            </w:r>
          </w:p>
        </w:tc>
        <w:tc>
          <w:tcPr>
            <w:tcW w:w="613"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30%</w:t>
            </w:r>
          </w:p>
        </w:tc>
        <w:tc>
          <w:tcPr>
            <w:tcW w:w="525"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15%</w:t>
            </w:r>
          </w:p>
        </w:tc>
        <w:tc>
          <w:tcPr>
            <w:tcW w:w="637"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15%</w:t>
            </w:r>
          </w:p>
        </w:tc>
        <w:tc>
          <w:tcPr>
            <w:tcW w:w="513"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D5512E" w:rsidRPr="00346988" w:rsidRDefault="00D5512E" w:rsidP="00EA02F7">
            <w:pPr>
              <w:widowControl/>
              <w:jc w:val="center"/>
              <w:rPr>
                <w:rFonts w:eastAsia="標楷體"/>
                <w:b/>
                <w:color w:val="0000FF"/>
                <w:kern w:val="0"/>
                <w:sz w:val="20"/>
                <w:szCs w:val="20"/>
              </w:rPr>
            </w:pPr>
            <w:r w:rsidRPr="00346988">
              <w:rPr>
                <w:rFonts w:eastAsia="標楷體"/>
                <w:b/>
                <w:color w:val="0000FF"/>
                <w:kern w:val="0"/>
                <w:sz w:val="20"/>
                <w:szCs w:val="20"/>
              </w:rPr>
              <w:t>10%</w:t>
            </w:r>
          </w:p>
        </w:tc>
      </w:tr>
    </w:tbl>
    <w:p w:rsidR="00A00F33" w:rsidRPr="00346988" w:rsidRDefault="00A00F33" w:rsidP="00A00F33">
      <w:pPr>
        <w:spacing w:line="340" w:lineRule="exact"/>
        <w:rPr>
          <w:rFonts w:eastAsia="標楷體"/>
          <w:b/>
        </w:rPr>
      </w:pPr>
    </w:p>
    <w:p w:rsidR="00A00F33" w:rsidRPr="00346988" w:rsidRDefault="00D5512E" w:rsidP="00A00F33">
      <w:pPr>
        <w:spacing w:line="340" w:lineRule="exact"/>
        <w:rPr>
          <w:rFonts w:eastAsia="標楷體"/>
          <w:b/>
        </w:rPr>
      </w:pPr>
      <w:r w:rsidRPr="00346988">
        <w:rPr>
          <w:rFonts w:eastAsia="標楷體"/>
          <w:b/>
        </w:rPr>
        <w:t>四、</w:t>
      </w:r>
      <w:r w:rsidR="00A00F33" w:rsidRPr="00346988">
        <w:rPr>
          <w:rFonts w:eastAsia="標楷體"/>
          <w:b/>
        </w:rPr>
        <w:t>教學方式：</w:t>
      </w:r>
    </w:p>
    <w:p w:rsidR="00A00F33" w:rsidRPr="00346988" w:rsidRDefault="00A00F33" w:rsidP="00A00F33">
      <w:pPr>
        <w:pStyle w:val="a3"/>
        <w:numPr>
          <w:ilvl w:val="0"/>
          <w:numId w:val="26"/>
        </w:numPr>
        <w:spacing w:line="340" w:lineRule="exact"/>
        <w:ind w:leftChars="0"/>
        <w:rPr>
          <w:rFonts w:eastAsia="標楷體"/>
        </w:rPr>
      </w:pPr>
      <w:r w:rsidRPr="00346988">
        <w:rPr>
          <w:rFonts w:eastAsia="標楷體"/>
        </w:rPr>
        <w:t>講授</w:t>
      </w:r>
      <w:r w:rsidRPr="00346988">
        <w:rPr>
          <w:rFonts w:eastAsia="標楷體"/>
        </w:rPr>
        <w:t xml:space="preserve">20% </w:t>
      </w:r>
    </w:p>
    <w:p w:rsidR="00A00F33" w:rsidRPr="00346988" w:rsidRDefault="00A00F33" w:rsidP="00A00F33">
      <w:pPr>
        <w:pStyle w:val="a3"/>
        <w:numPr>
          <w:ilvl w:val="0"/>
          <w:numId w:val="26"/>
        </w:numPr>
        <w:spacing w:line="340" w:lineRule="exact"/>
        <w:ind w:leftChars="0"/>
        <w:rPr>
          <w:rFonts w:eastAsia="標楷體"/>
        </w:rPr>
      </w:pPr>
      <w:r w:rsidRPr="00346988">
        <w:rPr>
          <w:rFonts w:eastAsia="標楷體"/>
        </w:rPr>
        <w:t>專題報告</w:t>
      </w:r>
      <w:r w:rsidRPr="00346988">
        <w:rPr>
          <w:rFonts w:eastAsia="標楷體"/>
        </w:rPr>
        <w:t xml:space="preserve">40% </w:t>
      </w:r>
    </w:p>
    <w:p w:rsidR="00A00F33" w:rsidRPr="00346988" w:rsidRDefault="009F6770" w:rsidP="00A00F33">
      <w:pPr>
        <w:pStyle w:val="a3"/>
        <w:numPr>
          <w:ilvl w:val="0"/>
          <w:numId w:val="26"/>
        </w:numPr>
        <w:spacing w:line="340" w:lineRule="exact"/>
        <w:ind w:leftChars="0"/>
        <w:rPr>
          <w:rFonts w:eastAsia="標楷體"/>
        </w:rPr>
      </w:pPr>
      <w:r>
        <w:rPr>
          <w:rFonts w:eastAsia="標楷體"/>
        </w:rPr>
        <w:t>課堂</w:t>
      </w:r>
      <w:r w:rsidR="00A00F33" w:rsidRPr="00346988">
        <w:rPr>
          <w:rFonts w:eastAsia="標楷體"/>
        </w:rPr>
        <w:t>討論</w:t>
      </w:r>
      <w:r w:rsidR="00A00F33" w:rsidRPr="00346988">
        <w:rPr>
          <w:rFonts w:eastAsia="標楷體"/>
        </w:rPr>
        <w:t xml:space="preserve">30% </w:t>
      </w:r>
    </w:p>
    <w:p w:rsidR="00A00F33" w:rsidRPr="00346988" w:rsidRDefault="00A00F33" w:rsidP="00A00F33">
      <w:pPr>
        <w:pStyle w:val="a3"/>
        <w:numPr>
          <w:ilvl w:val="0"/>
          <w:numId w:val="26"/>
        </w:numPr>
        <w:spacing w:line="340" w:lineRule="exact"/>
        <w:ind w:leftChars="0"/>
        <w:rPr>
          <w:rFonts w:eastAsia="標楷體"/>
        </w:rPr>
      </w:pPr>
      <w:r w:rsidRPr="00346988">
        <w:rPr>
          <w:rFonts w:eastAsia="標楷體"/>
        </w:rPr>
        <w:t>其他</w:t>
      </w:r>
      <w:r w:rsidRPr="00346988">
        <w:rPr>
          <w:rFonts w:eastAsia="標楷體"/>
        </w:rPr>
        <w:t>(</w:t>
      </w:r>
      <w:r w:rsidRPr="00346988">
        <w:rPr>
          <w:rFonts w:eastAsia="標楷體"/>
        </w:rPr>
        <w:t>專題演講、課外活動參與等</w:t>
      </w:r>
      <w:r w:rsidRPr="00346988">
        <w:rPr>
          <w:rFonts w:eastAsia="標楷體"/>
        </w:rPr>
        <w:t>) 10%</w:t>
      </w:r>
    </w:p>
    <w:p w:rsidR="00A00F33" w:rsidRPr="00346988" w:rsidRDefault="00A00F33" w:rsidP="00A00F33">
      <w:pPr>
        <w:spacing w:line="340" w:lineRule="exact"/>
        <w:rPr>
          <w:rFonts w:eastAsia="標楷體"/>
          <w:b/>
        </w:rPr>
      </w:pPr>
    </w:p>
    <w:p w:rsidR="00A00F33" w:rsidRPr="00346988" w:rsidRDefault="00A00F33" w:rsidP="00A00F33">
      <w:pPr>
        <w:spacing w:line="340" w:lineRule="exact"/>
        <w:rPr>
          <w:rFonts w:eastAsia="標楷體"/>
          <w:b/>
        </w:rPr>
      </w:pPr>
      <w:r w:rsidRPr="00346988">
        <w:rPr>
          <w:rFonts w:eastAsia="標楷體"/>
          <w:b/>
        </w:rPr>
        <w:lastRenderedPageBreak/>
        <w:t>五、成績評量方式：</w:t>
      </w:r>
    </w:p>
    <w:p w:rsidR="00A00F33" w:rsidRPr="00346988" w:rsidRDefault="00A00F33" w:rsidP="00A00F33">
      <w:pPr>
        <w:pStyle w:val="a3"/>
        <w:numPr>
          <w:ilvl w:val="0"/>
          <w:numId w:val="25"/>
        </w:numPr>
        <w:spacing w:line="340" w:lineRule="exact"/>
        <w:ind w:leftChars="0"/>
        <w:jc w:val="both"/>
        <w:rPr>
          <w:rFonts w:eastAsia="標楷體"/>
        </w:rPr>
      </w:pPr>
      <w:r w:rsidRPr="00346988">
        <w:rPr>
          <w:rFonts w:eastAsia="標楷體"/>
        </w:rPr>
        <w:t>出席並參與討論</w:t>
      </w:r>
      <w:r w:rsidRPr="00346988">
        <w:rPr>
          <w:rFonts w:eastAsia="標楷體"/>
        </w:rPr>
        <w:t>20%</w:t>
      </w:r>
    </w:p>
    <w:p w:rsidR="00A00F33" w:rsidRPr="00346988" w:rsidRDefault="00A00F33" w:rsidP="00A00F33">
      <w:pPr>
        <w:pStyle w:val="a3"/>
        <w:numPr>
          <w:ilvl w:val="0"/>
          <w:numId w:val="25"/>
        </w:numPr>
        <w:spacing w:line="340" w:lineRule="exact"/>
        <w:ind w:leftChars="0"/>
        <w:jc w:val="both"/>
        <w:rPr>
          <w:rFonts w:eastAsia="標楷體"/>
        </w:rPr>
      </w:pPr>
      <w:r w:rsidRPr="00346988">
        <w:rPr>
          <w:rFonts w:eastAsia="標楷體"/>
        </w:rPr>
        <w:t>課堂作業</w:t>
      </w:r>
      <w:r w:rsidR="00C04F02">
        <w:rPr>
          <w:rFonts w:eastAsia="標楷體" w:hint="eastAsia"/>
        </w:rPr>
        <w:t>2</w:t>
      </w:r>
      <w:r w:rsidRPr="00346988">
        <w:rPr>
          <w:rFonts w:eastAsia="標楷體"/>
        </w:rPr>
        <w:t>0%</w:t>
      </w:r>
      <w:r w:rsidR="00C04F02">
        <w:rPr>
          <w:rFonts w:eastAsia="標楷體"/>
        </w:rPr>
        <w:t>（針對指定主題與教學資源，</w:t>
      </w:r>
      <w:r w:rsidR="00C04F02">
        <w:rPr>
          <w:rFonts w:eastAsia="標楷體" w:hint="eastAsia"/>
        </w:rPr>
        <w:t>構思</w:t>
      </w:r>
      <w:r w:rsidRPr="00346988">
        <w:rPr>
          <w:rFonts w:eastAsia="標楷體"/>
        </w:rPr>
        <w:t>課程內容與研發教學策略）</w:t>
      </w:r>
    </w:p>
    <w:p w:rsidR="00A00F33" w:rsidRPr="00346988" w:rsidRDefault="00A00F33" w:rsidP="00A00F33">
      <w:pPr>
        <w:pStyle w:val="a3"/>
        <w:numPr>
          <w:ilvl w:val="0"/>
          <w:numId w:val="25"/>
        </w:numPr>
        <w:spacing w:line="340" w:lineRule="exact"/>
        <w:ind w:leftChars="0"/>
        <w:jc w:val="both"/>
        <w:rPr>
          <w:rFonts w:eastAsia="標楷體"/>
        </w:rPr>
      </w:pPr>
      <w:r w:rsidRPr="00346988">
        <w:rPr>
          <w:rFonts w:eastAsia="標楷體"/>
        </w:rPr>
        <w:t>英文文獻導讀</w:t>
      </w:r>
      <w:r w:rsidRPr="00346988">
        <w:rPr>
          <w:rFonts w:eastAsia="標楷體"/>
        </w:rPr>
        <w:t>20%</w:t>
      </w:r>
    </w:p>
    <w:p w:rsidR="00C04F02" w:rsidRPr="002F46AB" w:rsidRDefault="00A00F33" w:rsidP="00C04F02">
      <w:pPr>
        <w:pStyle w:val="a3"/>
        <w:numPr>
          <w:ilvl w:val="0"/>
          <w:numId w:val="25"/>
        </w:numPr>
        <w:spacing w:line="340" w:lineRule="exact"/>
        <w:ind w:leftChars="0"/>
        <w:jc w:val="both"/>
        <w:rPr>
          <w:rFonts w:eastAsia="標楷體"/>
        </w:rPr>
      </w:pPr>
      <w:r w:rsidRPr="002F46AB">
        <w:rPr>
          <w:rFonts w:eastAsia="標楷體"/>
        </w:rPr>
        <w:t>期末專題</w:t>
      </w:r>
      <w:r w:rsidR="002F46AB" w:rsidRPr="002F46AB">
        <w:rPr>
          <w:rFonts w:eastAsia="標楷體"/>
        </w:rPr>
        <w:t>「性別與管理」</w:t>
      </w:r>
      <w:r w:rsidRPr="002F46AB">
        <w:rPr>
          <w:rFonts w:eastAsia="標楷體"/>
        </w:rPr>
        <w:t>口頭</w:t>
      </w:r>
      <w:r w:rsidR="00C04F02" w:rsidRPr="002F46AB">
        <w:rPr>
          <w:rFonts w:eastAsia="標楷體"/>
        </w:rPr>
        <w:t>報告</w:t>
      </w:r>
      <w:r w:rsidR="00C04F02" w:rsidRPr="002F46AB">
        <w:rPr>
          <w:rFonts w:eastAsia="標楷體"/>
        </w:rPr>
        <w:t>20%</w:t>
      </w:r>
    </w:p>
    <w:p w:rsidR="00A00F33" w:rsidRPr="002F46AB" w:rsidRDefault="00C04F02" w:rsidP="00A00F33">
      <w:pPr>
        <w:pStyle w:val="a3"/>
        <w:numPr>
          <w:ilvl w:val="0"/>
          <w:numId w:val="25"/>
        </w:numPr>
        <w:spacing w:line="340" w:lineRule="exact"/>
        <w:ind w:leftChars="0"/>
        <w:jc w:val="both"/>
        <w:rPr>
          <w:rFonts w:eastAsia="標楷體"/>
        </w:rPr>
      </w:pPr>
      <w:r w:rsidRPr="002F46AB">
        <w:rPr>
          <w:rFonts w:eastAsia="標楷體"/>
        </w:rPr>
        <w:t>期末學習心得</w:t>
      </w:r>
      <w:r w:rsidR="00A00F33" w:rsidRPr="002F46AB">
        <w:rPr>
          <w:rFonts w:eastAsia="標楷體"/>
        </w:rPr>
        <w:t>報告</w:t>
      </w:r>
      <w:r w:rsidR="00A00F33" w:rsidRPr="002F46AB">
        <w:rPr>
          <w:rFonts w:eastAsia="標楷體"/>
        </w:rPr>
        <w:t>20%</w:t>
      </w:r>
    </w:p>
    <w:p w:rsidR="00A00F33" w:rsidRPr="00346988" w:rsidRDefault="00A00F33" w:rsidP="00A00F33">
      <w:pPr>
        <w:pStyle w:val="a3"/>
        <w:spacing w:line="340" w:lineRule="exact"/>
        <w:ind w:leftChars="0"/>
        <w:jc w:val="both"/>
        <w:rPr>
          <w:rFonts w:eastAsia="標楷體"/>
        </w:rPr>
      </w:pPr>
    </w:p>
    <w:p w:rsidR="00D5512E" w:rsidRPr="00346988" w:rsidRDefault="00A00F33" w:rsidP="00D5512E">
      <w:pPr>
        <w:spacing w:line="340" w:lineRule="exact"/>
        <w:rPr>
          <w:rFonts w:eastAsia="標楷體"/>
          <w:b/>
        </w:rPr>
      </w:pPr>
      <w:r w:rsidRPr="00346988">
        <w:rPr>
          <w:rFonts w:eastAsia="標楷體"/>
          <w:b/>
        </w:rPr>
        <w:t>六、</w:t>
      </w:r>
      <w:r w:rsidR="00D5512E" w:rsidRPr="00346988">
        <w:rPr>
          <w:rFonts w:eastAsia="標楷體"/>
          <w:b/>
        </w:rPr>
        <w:t>教學進度：</w:t>
      </w: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8494"/>
      </w:tblGrid>
      <w:tr w:rsidR="00DD04E9" w:rsidRPr="00346988" w:rsidTr="00510964">
        <w:trPr>
          <w:cantSplit/>
          <w:trHeight w:val="383"/>
        </w:trPr>
        <w:tc>
          <w:tcPr>
            <w:tcW w:w="360" w:type="dxa"/>
          </w:tcPr>
          <w:p w:rsidR="00DD04E9" w:rsidRPr="00346988" w:rsidRDefault="00DD04E9" w:rsidP="00EA02F7">
            <w:pPr>
              <w:spacing w:line="340" w:lineRule="exact"/>
              <w:jc w:val="center"/>
              <w:rPr>
                <w:rFonts w:eastAsia="標楷體"/>
              </w:rPr>
            </w:pPr>
          </w:p>
        </w:tc>
        <w:tc>
          <w:tcPr>
            <w:tcW w:w="8494" w:type="dxa"/>
          </w:tcPr>
          <w:p w:rsidR="00DD04E9" w:rsidRPr="00346988" w:rsidRDefault="00510964" w:rsidP="00510964">
            <w:pPr>
              <w:spacing w:line="340" w:lineRule="exact"/>
              <w:jc w:val="center"/>
              <w:rPr>
                <w:rFonts w:eastAsia="標楷體"/>
                <w:b/>
              </w:rPr>
            </w:pPr>
            <w:r w:rsidRPr="00346988">
              <w:rPr>
                <w:rFonts w:eastAsia="標楷體"/>
                <w:b/>
              </w:rPr>
              <w:t>週次</w:t>
            </w:r>
            <w:r w:rsidRPr="00346988">
              <w:rPr>
                <w:rFonts w:eastAsia="標楷體"/>
                <w:b/>
              </w:rPr>
              <w:t xml:space="preserve"> / </w:t>
            </w:r>
            <w:r w:rsidRPr="00346988">
              <w:rPr>
                <w:rFonts w:eastAsia="標楷體"/>
                <w:b/>
              </w:rPr>
              <w:t>教學內容</w:t>
            </w:r>
          </w:p>
        </w:tc>
      </w:tr>
      <w:tr w:rsidR="00510964" w:rsidRPr="00346988" w:rsidTr="00510964">
        <w:trPr>
          <w:cantSplit/>
          <w:trHeight w:val="383"/>
        </w:trPr>
        <w:tc>
          <w:tcPr>
            <w:tcW w:w="360" w:type="dxa"/>
          </w:tcPr>
          <w:p w:rsidR="00510964" w:rsidRPr="00346988" w:rsidRDefault="00510964" w:rsidP="00510964">
            <w:pPr>
              <w:spacing w:line="340" w:lineRule="exact"/>
              <w:jc w:val="center"/>
              <w:rPr>
                <w:rFonts w:eastAsia="標楷體"/>
              </w:rPr>
            </w:pPr>
            <w:r w:rsidRPr="00346988">
              <w:rPr>
                <w:rFonts w:eastAsia="標楷體"/>
              </w:rPr>
              <w:t>1</w:t>
            </w:r>
          </w:p>
        </w:tc>
        <w:tc>
          <w:tcPr>
            <w:tcW w:w="8494" w:type="dxa"/>
          </w:tcPr>
          <w:p w:rsidR="00510964" w:rsidRPr="00346988" w:rsidRDefault="00510964" w:rsidP="00510964">
            <w:pPr>
              <w:spacing w:line="340" w:lineRule="exact"/>
              <w:rPr>
                <w:rFonts w:eastAsia="標楷體"/>
              </w:rPr>
            </w:pPr>
            <w:r w:rsidRPr="00346988">
              <w:rPr>
                <w:rFonts w:eastAsia="標楷體"/>
              </w:rPr>
              <w:t>9/11</w:t>
            </w:r>
            <w:r w:rsidRPr="00346988">
              <w:rPr>
                <w:rFonts w:eastAsia="標楷體"/>
              </w:rPr>
              <w:t>課程介紹</w:t>
            </w:r>
          </w:p>
        </w:tc>
      </w:tr>
      <w:tr w:rsidR="00510964" w:rsidRPr="00346988" w:rsidTr="00C04F02">
        <w:trPr>
          <w:cantSplit/>
          <w:trHeight w:val="361"/>
        </w:trPr>
        <w:tc>
          <w:tcPr>
            <w:tcW w:w="360" w:type="dxa"/>
          </w:tcPr>
          <w:p w:rsidR="00510964" w:rsidRPr="00346988" w:rsidRDefault="00510964" w:rsidP="00510964">
            <w:pPr>
              <w:spacing w:line="340" w:lineRule="exact"/>
              <w:jc w:val="center"/>
              <w:rPr>
                <w:rFonts w:eastAsia="標楷體"/>
              </w:rPr>
            </w:pPr>
            <w:r w:rsidRPr="00346988">
              <w:rPr>
                <w:rFonts w:eastAsia="標楷體"/>
              </w:rPr>
              <w:t>2</w:t>
            </w:r>
          </w:p>
        </w:tc>
        <w:tc>
          <w:tcPr>
            <w:tcW w:w="8494" w:type="dxa"/>
          </w:tcPr>
          <w:p w:rsidR="002F46AB" w:rsidRPr="002F46AB" w:rsidRDefault="00510964" w:rsidP="002F46AB">
            <w:pPr>
              <w:spacing w:line="340" w:lineRule="exact"/>
              <w:rPr>
                <w:rFonts w:eastAsia="標楷體"/>
              </w:rPr>
            </w:pPr>
            <w:r w:rsidRPr="00346988">
              <w:rPr>
                <w:rFonts w:eastAsia="標楷體"/>
              </w:rPr>
              <w:t>9/18</w:t>
            </w:r>
            <w:r w:rsidR="00C04F02" w:rsidRPr="00346988">
              <w:rPr>
                <w:rFonts w:eastAsia="標楷體"/>
              </w:rPr>
              <w:t xml:space="preserve"> </w:t>
            </w:r>
            <w:r w:rsidR="00C04F02">
              <w:rPr>
                <w:rFonts w:eastAsia="標楷體" w:hint="eastAsia"/>
              </w:rPr>
              <w:t>課程調整，參與課外學習活動</w:t>
            </w:r>
            <w:r w:rsidR="00C04F02">
              <w:rPr>
                <w:rFonts w:eastAsia="標楷體" w:hint="eastAsia"/>
              </w:rPr>
              <w:t>(*</w:t>
            </w:r>
            <w:r w:rsidR="00C04F02">
              <w:rPr>
                <w:rFonts w:eastAsia="標楷體" w:hint="eastAsia"/>
              </w:rPr>
              <w:t>任擇</w:t>
            </w:r>
            <w:r w:rsidR="002F46AB">
              <w:rPr>
                <w:rFonts w:eastAsia="標楷體" w:hint="eastAsia"/>
              </w:rPr>
              <w:t>上午或下午</w:t>
            </w:r>
            <w:r w:rsidR="00C04F02">
              <w:rPr>
                <w:rFonts w:eastAsia="標楷體" w:hint="eastAsia"/>
              </w:rPr>
              <w:t>其</w:t>
            </w:r>
            <w:r w:rsidR="002F46AB">
              <w:rPr>
                <w:rFonts w:eastAsia="標楷體" w:hint="eastAsia"/>
              </w:rPr>
              <w:t>中半天的活動參與</w:t>
            </w:r>
            <w:r w:rsidR="00C04F02">
              <w:rPr>
                <w:rFonts w:eastAsia="標楷體" w:hint="eastAsia"/>
              </w:rPr>
              <w:t>)</w:t>
            </w:r>
          </w:p>
          <w:p w:rsidR="002F46AB" w:rsidRPr="00C04F02" w:rsidRDefault="002F46AB" w:rsidP="002F46AB">
            <w:pPr>
              <w:spacing w:line="340" w:lineRule="exact"/>
              <w:rPr>
                <w:rFonts w:eastAsia="標楷體"/>
              </w:rPr>
            </w:pPr>
            <w:r w:rsidRPr="002F46AB">
              <w:rPr>
                <w:rFonts w:eastAsia="標楷體" w:hint="eastAsia"/>
              </w:rPr>
              <w:t>*12/12(10:00-16:00)</w:t>
            </w:r>
            <w:r w:rsidRPr="002F46AB">
              <w:rPr>
                <w:rFonts w:eastAsia="標楷體" w:hint="eastAsia"/>
              </w:rPr>
              <w:t>活動，「性別平等</w:t>
            </w:r>
            <w:r>
              <w:rPr>
                <w:rFonts w:eastAsia="標楷體" w:hint="eastAsia"/>
              </w:rPr>
              <w:t>政策</w:t>
            </w:r>
            <w:r w:rsidRPr="002F46AB">
              <w:rPr>
                <w:rFonts w:eastAsia="標楷體" w:hint="eastAsia"/>
              </w:rPr>
              <w:t>在大專校園與公部門的推動」</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3</w:t>
            </w:r>
          </w:p>
        </w:tc>
        <w:tc>
          <w:tcPr>
            <w:tcW w:w="8494" w:type="dxa"/>
          </w:tcPr>
          <w:p w:rsidR="00510964" w:rsidRPr="00346988" w:rsidRDefault="00510964" w:rsidP="00510964">
            <w:pPr>
              <w:spacing w:line="340" w:lineRule="exact"/>
              <w:rPr>
                <w:rFonts w:eastAsia="標楷體"/>
              </w:rPr>
            </w:pPr>
            <w:r w:rsidRPr="00346988">
              <w:rPr>
                <w:rFonts w:eastAsia="標楷體"/>
              </w:rPr>
              <w:t>9/25</w:t>
            </w:r>
            <w:r w:rsidRPr="00346988">
              <w:rPr>
                <w:rFonts w:eastAsia="標楷體"/>
              </w:rPr>
              <w:t>專題演講</w:t>
            </w:r>
            <w:r w:rsidRPr="00346988">
              <w:rPr>
                <w:rFonts w:eastAsia="標楷體"/>
              </w:rPr>
              <w:t xml:space="preserve"> 13:30-16:00</w:t>
            </w:r>
          </w:p>
          <w:p w:rsidR="00510964" w:rsidRPr="00346988" w:rsidRDefault="00510964" w:rsidP="00510964">
            <w:pPr>
              <w:spacing w:line="340" w:lineRule="exact"/>
              <w:rPr>
                <w:rFonts w:eastAsia="標楷體"/>
              </w:rPr>
            </w:pPr>
            <w:r w:rsidRPr="00346988">
              <w:rPr>
                <w:rFonts w:eastAsia="標楷體"/>
              </w:rPr>
              <w:t>性別教育教學策略分享</w:t>
            </w:r>
            <w:r w:rsidRPr="00346988">
              <w:rPr>
                <w:rFonts w:eastAsia="標楷體"/>
              </w:rPr>
              <w:t xml:space="preserve"> / </w:t>
            </w:r>
            <w:r w:rsidRPr="00346988">
              <w:rPr>
                <w:rFonts w:eastAsia="標楷體"/>
              </w:rPr>
              <w:t>蔣琬斯</w:t>
            </w:r>
            <w:r w:rsidRPr="00346988">
              <w:rPr>
                <w:rFonts w:eastAsia="標楷體"/>
              </w:rPr>
              <w:t xml:space="preserve"> / </w:t>
            </w:r>
          </w:p>
          <w:p w:rsidR="00510964" w:rsidRPr="00346988" w:rsidRDefault="00510964" w:rsidP="00510964">
            <w:pPr>
              <w:spacing w:line="340" w:lineRule="exact"/>
              <w:rPr>
                <w:rFonts w:eastAsia="標楷體"/>
              </w:rPr>
            </w:pPr>
            <w:r w:rsidRPr="00346988">
              <w:rPr>
                <w:rFonts w:eastAsia="標楷體"/>
              </w:rPr>
              <w:t>1.</w:t>
            </w:r>
            <w:r w:rsidRPr="00346988">
              <w:rPr>
                <w:rFonts w:eastAsia="標楷體"/>
              </w:rPr>
              <w:t>演講小撇步，</w:t>
            </w:r>
            <w:r w:rsidRPr="00346988">
              <w:rPr>
                <w:rFonts w:eastAsia="標楷體"/>
              </w:rPr>
              <w:t>2.</w:t>
            </w:r>
            <w:r w:rsidRPr="00346988">
              <w:rPr>
                <w:rFonts w:eastAsia="標楷體"/>
              </w:rPr>
              <w:t>月經教育與愛滋防治教育教學演示</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4</w:t>
            </w:r>
          </w:p>
        </w:tc>
        <w:tc>
          <w:tcPr>
            <w:tcW w:w="8494" w:type="dxa"/>
          </w:tcPr>
          <w:p w:rsidR="00C04F02" w:rsidRDefault="00510964" w:rsidP="00C04F02">
            <w:pPr>
              <w:spacing w:line="340" w:lineRule="exact"/>
              <w:rPr>
                <w:rFonts w:eastAsia="標楷體"/>
              </w:rPr>
            </w:pPr>
            <w:r w:rsidRPr="00346988">
              <w:rPr>
                <w:rFonts w:eastAsia="標楷體"/>
              </w:rPr>
              <w:t>10/2</w:t>
            </w:r>
            <w:r w:rsidR="00C04F02" w:rsidRPr="00C04F02">
              <w:rPr>
                <w:rFonts w:eastAsia="標楷體" w:hint="eastAsia"/>
              </w:rPr>
              <w:t>運用現有教學資源與媒材，思索教學策略之發展，提升性別平等意識</w:t>
            </w:r>
          </w:p>
          <w:p w:rsidR="00C04F02" w:rsidRPr="00C04F02" w:rsidRDefault="00C04F02" w:rsidP="00C04F02">
            <w:pPr>
              <w:spacing w:line="340" w:lineRule="exact"/>
              <w:rPr>
                <w:rFonts w:eastAsia="標楷體"/>
              </w:rPr>
            </w:pPr>
            <w:r>
              <w:rPr>
                <w:rFonts w:eastAsia="標楷體" w:hint="eastAsia"/>
              </w:rPr>
              <w:t>(</w:t>
            </w:r>
            <w:r>
              <w:rPr>
                <w:rFonts w:eastAsia="標楷體" w:hint="eastAsia"/>
              </w:rPr>
              <w:t>網路學習資源</w:t>
            </w:r>
            <w:r>
              <w:rPr>
                <w:rFonts w:eastAsia="標楷體" w:hint="eastAsia"/>
              </w:rPr>
              <w:t>)</w:t>
            </w:r>
          </w:p>
          <w:p w:rsidR="00C04F02" w:rsidRPr="00C04F02" w:rsidRDefault="00C04F02" w:rsidP="00C04F02">
            <w:pPr>
              <w:pStyle w:val="a3"/>
              <w:numPr>
                <w:ilvl w:val="0"/>
                <w:numId w:val="37"/>
              </w:numPr>
              <w:spacing w:line="340" w:lineRule="exact"/>
              <w:ind w:leftChars="0"/>
              <w:rPr>
                <w:rFonts w:eastAsia="標楷體"/>
              </w:rPr>
            </w:pPr>
            <w:r w:rsidRPr="00C04F02">
              <w:rPr>
                <w:rFonts w:eastAsia="標楷體" w:hint="eastAsia"/>
              </w:rPr>
              <w:t>游美惠、楊幸真主編（</w:t>
            </w:r>
            <w:r w:rsidRPr="00C04F02">
              <w:rPr>
                <w:rFonts w:eastAsia="標楷體" w:hint="eastAsia"/>
              </w:rPr>
              <w:t>2017</w:t>
            </w:r>
            <w:r w:rsidRPr="00C04F02">
              <w:rPr>
                <w:rFonts w:eastAsia="標楷體" w:hint="eastAsia"/>
              </w:rPr>
              <w:t>）。《性別意識成長數位學習課程手冊》。台北：教育部。</w:t>
            </w:r>
          </w:p>
          <w:p w:rsidR="00C04F02" w:rsidRPr="00C04F02" w:rsidRDefault="00C04F02" w:rsidP="00C04F02">
            <w:pPr>
              <w:pStyle w:val="a3"/>
              <w:numPr>
                <w:ilvl w:val="0"/>
                <w:numId w:val="35"/>
              </w:numPr>
              <w:ind w:leftChars="0"/>
              <w:rPr>
                <w:rFonts w:eastAsia="標楷體"/>
              </w:rPr>
            </w:pPr>
            <w:r w:rsidRPr="00C04F02">
              <w:rPr>
                <w:rFonts w:eastAsia="標楷體" w:hint="eastAsia"/>
              </w:rPr>
              <w:t>蔣琬斯、游美惠、王紫菡主編（</w:t>
            </w:r>
            <w:r w:rsidRPr="00C04F02">
              <w:rPr>
                <w:rFonts w:eastAsia="標楷體" w:hint="eastAsia"/>
              </w:rPr>
              <w:t>2022</w:t>
            </w:r>
            <w:r w:rsidRPr="00C04F02">
              <w:rPr>
                <w:rFonts w:eastAsia="標楷體" w:hint="eastAsia"/>
              </w:rPr>
              <w:t>）。《給家一個擁抱：認識多元型態家庭學習資源手冊》。台北：教育部。</w:t>
            </w:r>
          </w:p>
          <w:p w:rsidR="00C04F02" w:rsidRPr="00C04F02" w:rsidRDefault="00C04F02" w:rsidP="00C04F02">
            <w:pPr>
              <w:pStyle w:val="a3"/>
              <w:numPr>
                <w:ilvl w:val="0"/>
                <w:numId w:val="35"/>
              </w:numPr>
              <w:ind w:leftChars="0"/>
              <w:rPr>
                <w:rFonts w:eastAsia="標楷體"/>
              </w:rPr>
            </w:pPr>
            <w:r w:rsidRPr="00C04F02">
              <w:rPr>
                <w:rFonts w:eastAsia="標楷體" w:hint="eastAsia"/>
              </w:rPr>
              <w:t>「</w:t>
            </w:r>
            <w:r w:rsidRPr="00C04F02">
              <w:rPr>
                <w:rFonts w:eastAsia="標楷體" w:hint="eastAsia"/>
              </w:rPr>
              <w:t xml:space="preserve">Gender </w:t>
            </w:r>
            <w:r>
              <w:rPr>
                <w:rFonts w:eastAsia="標楷體" w:hint="eastAsia"/>
              </w:rPr>
              <w:t>在這裡」網站中的性別教育教學策略</w:t>
            </w:r>
            <w:r>
              <w:rPr>
                <w:rFonts w:eastAsia="標楷體" w:hint="eastAsia"/>
              </w:rPr>
              <w:t>(</w:t>
            </w:r>
            <w:r>
              <w:rPr>
                <w:rFonts w:eastAsia="標楷體" w:hint="eastAsia"/>
              </w:rPr>
              <w:t>思考</w:t>
            </w:r>
            <w:r>
              <w:rPr>
                <w:rFonts w:eastAsia="標楷體" w:hint="eastAsia"/>
              </w:rPr>
              <w:t>:</w:t>
            </w:r>
            <w:r>
              <w:rPr>
                <w:rFonts w:eastAsia="標楷體" w:hint="eastAsia"/>
              </w:rPr>
              <w:t>如何</w:t>
            </w:r>
            <w:r w:rsidRPr="00C04F02">
              <w:rPr>
                <w:rFonts w:eastAsia="標楷體" w:hint="eastAsia"/>
              </w:rPr>
              <w:t>運用現有教學資源與媒材</w:t>
            </w:r>
            <w:r>
              <w:rPr>
                <w:rFonts w:eastAsia="標楷體" w:hint="eastAsia"/>
              </w:rPr>
              <w:t>進行性別教育</w:t>
            </w:r>
            <w:r>
              <w:rPr>
                <w:rFonts w:eastAsia="標楷體" w:hint="eastAsia"/>
              </w:rPr>
              <w:t>)</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5</w:t>
            </w:r>
          </w:p>
        </w:tc>
        <w:tc>
          <w:tcPr>
            <w:tcW w:w="8494" w:type="dxa"/>
          </w:tcPr>
          <w:p w:rsidR="00510964" w:rsidRPr="00346988" w:rsidRDefault="00510964" w:rsidP="00510964">
            <w:pPr>
              <w:spacing w:line="340" w:lineRule="exact"/>
              <w:rPr>
                <w:rFonts w:eastAsia="標楷體"/>
              </w:rPr>
            </w:pPr>
            <w:r w:rsidRPr="00346988">
              <w:rPr>
                <w:rFonts w:eastAsia="標楷體"/>
              </w:rPr>
              <w:t xml:space="preserve">10/9 </w:t>
            </w:r>
            <w:r w:rsidRPr="00346988">
              <w:rPr>
                <w:rFonts w:eastAsia="標楷體"/>
              </w:rPr>
              <w:t>放假</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6</w:t>
            </w:r>
          </w:p>
        </w:tc>
        <w:tc>
          <w:tcPr>
            <w:tcW w:w="8494" w:type="dxa"/>
          </w:tcPr>
          <w:p w:rsidR="00510964" w:rsidRPr="00346988" w:rsidRDefault="00510964" w:rsidP="00510964">
            <w:pPr>
              <w:spacing w:line="340" w:lineRule="exact"/>
              <w:rPr>
                <w:rFonts w:eastAsia="標楷體"/>
              </w:rPr>
            </w:pPr>
            <w:r w:rsidRPr="00346988">
              <w:rPr>
                <w:rFonts w:eastAsia="標楷體"/>
              </w:rPr>
              <w:t>10/16</w:t>
            </w:r>
            <w:r w:rsidRPr="00346988">
              <w:rPr>
                <w:rFonts w:eastAsia="標楷體"/>
              </w:rPr>
              <w:t>破除性別刻板印象的教學策略</w:t>
            </w:r>
          </w:p>
          <w:p w:rsidR="00510964" w:rsidRPr="00346988" w:rsidRDefault="00510964" w:rsidP="00510964">
            <w:pPr>
              <w:pStyle w:val="a3"/>
              <w:numPr>
                <w:ilvl w:val="0"/>
                <w:numId w:val="33"/>
              </w:numPr>
              <w:spacing w:line="340" w:lineRule="exact"/>
              <w:ind w:leftChars="0"/>
              <w:rPr>
                <w:rFonts w:eastAsia="標楷體"/>
              </w:rPr>
            </w:pPr>
            <w:r w:rsidRPr="00346988">
              <w:rPr>
                <w:rFonts w:eastAsia="標楷體"/>
              </w:rPr>
              <w:t>幸佳慧（</w:t>
            </w:r>
            <w:r w:rsidRPr="00346988">
              <w:rPr>
                <w:rFonts w:eastAsia="標楷體"/>
              </w:rPr>
              <w:t>2014</w:t>
            </w:r>
            <w:r w:rsidRPr="00346988">
              <w:rPr>
                <w:rFonts w:eastAsia="標楷體"/>
              </w:rPr>
              <w:t>）。〈女生和男生到底有什麼不同﹖〉《用繪本跟孩子談重要的事：能獨立思考的孩子，到哪裡都能過得好》。頁</w:t>
            </w:r>
            <w:r w:rsidRPr="00346988">
              <w:rPr>
                <w:rFonts w:eastAsia="標楷體"/>
              </w:rPr>
              <w:t>83-100</w:t>
            </w:r>
            <w:r w:rsidRPr="00346988">
              <w:rPr>
                <w:rFonts w:eastAsia="標楷體"/>
              </w:rPr>
              <w:t>。台北：如何。</w:t>
            </w:r>
          </w:p>
          <w:p w:rsidR="00510964" w:rsidRPr="00346988" w:rsidRDefault="00510964" w:rsidP="00510964">
            <w:pPr>
              <w:pStyle w:val="a3"/>
              <w:numPr>
                <w:ilvl w:val="0"/>
                <w:numId w:val="33"/>
              </w:numPr>
              <w:spacing w:line="340" w:lineRule="exact"/>
              <w:ind w:leftChars="0"/>
              <w:rPr>
                <w:rFonts w:eastAsia="標楷體"/>
              </w:rPr>
            </w:pPr>
            <w:r w:rsidRPr="00346988">
              <w:rPr>
                <w:rFonts w:eastAsia="標楷體"/>
              </w:rPr>
              <w:t xml:space="preserve">Murphy, M. J. (2013). Engendering material culture: The gendered packaging of bath and beauty products. In </w:t>
            </w:r>
            <w:r w:rsidRPr="00346988">
              <w:rPr>
                <w:rFonts w:eastAsia="標楷體"/>
                <w:i/>
              </w:rPr>
              <w:t>Activities for teaching gender and sexuality in the university classroom</w:t>
            </w:r>
            <w:r w:rsidRPr="00346988">
              <w:rPr>
                <w:rFonts w:eastAsia="標楷體"/>
              </w:rPr>
              <w:t>. (pp.170-177). R &amp; L Education</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7.</w:t>
            </w:r>
          </w:p>
        </w:tc>
        <w:tc>
          <w:tcPr>
            <w:tcW w:w="8494" w:type="dxa"/>
          </w:tcPr>
          <w:p w:rsidR="00B03701" w:rsidRDefault="00510964" w:rsidP="00510964">
            <w:pPr>
              <w:spacing w:line="340" w:lineRule="exact"/>
              <w:rPr>
                <w:rFonts w:eastAsia="標楷體"/>
              </w:rPr>
            </w:pPr>
            <w:r w:rsidRPr="00346988">
              <w:rPr>
                <w:rFonts w:eastAsia="標楷體"/>
              </w:rPr>
              <w:t>10/23</w:t>
            </w:r>
            <w:r w:rsidRPr="00346988">
              <w:rPr>
                <w:rFonts w:eastAsia="標楷體"/>
              </w:rPr>
              <w:t>情感教育教學策略</w:t>
            </w:r>
          </w:p>
          <w:p w:rsidR="00510964" w:rsidRPr="00B03701" w:rsidRDefault="00B03701" w:rsidP="00B03701">
            <w:pPr>
              <w:pStyle w:val="a3"/>
              <w:numPr>
                <w:ilvl w:val="0"/>
                <w:numId w:val="38"/>
              </w:numPr>
              <w:spacing w:line="340" w:lineRule="exact"/>
              <w:ind w:leftChars="0"/>
              <w:rPr>
                <w:rFonts w:eastAsia="標楷體"/>
              </w:rPr>
            </w:pPr>
            <w:r w:rsidRPr="00B03701">
              <w:rPr>
                <w:rFonts w:eastAsia="標楷體" w:hint="eastAsia"/>
              </w:rPr>
              <w:t>楊幸真、游美惠（</w:t>
            </w:r>
            <w:r w:rsidRPr="00B03701">
              <w:rPr>
                <w:rFonts w:eastAsia="標楷體" w:hint="eastAsia"/>
              </w:rPr>
              <w:t>2014</w:t>
            </w:r>
            <w:r w:rsidRPr="00B03701">
              <w:rPr>
                <w:rFonts w:eastAsia="標楷體" w:hint="eastAsia"/>
              </w:rPr>
              <w:t>）台灣性別與情感教育研究之回顧分析：知識生產的挑戰與展望。臺灣教育社會學研究，</w:t>
            </w:r>
            <w:r w:rsidRPr="00B03701">
              <w:rPr>
                <w:rFonts w:eastAsia="標楷體" w:hint="eastAsia"/>
              </w:rPr>
              <w:t>14</w:t>
            </w:r>
            <w:r w:rsidRPr="00B03701">
              <w:rPr>
                <w:rFonts w:eastAsia="標楷體" w:hint="eastAsia"/>
              </w:rPr>
              <w:t>（</w:t>
            </w:r>
            <w:r w:rsidRPr="00B03701">
              <w:rPr>
                <w:rFonts w:eastAsia="標楷體" w:hint="eastAsia"/>
              </w:rPr>
              <w:t>2</w:t>
            </w:r>
            <w:r w:rsidRPr="00B03701">
              <w:rPr>
                <w:rFonts w:eastAsia="標楷體" w:hint="eastAsia"/>
              </w:rPr>
              <w:t>）：</w:t>
            </w:r>
            <w:r w:rsidRPr="00B03701">
              <w:rPr>
                <w:rFonts w:eastAsia="標楷體" w:hint="eastAsia"/>
              </w:rPr>
              <w:t>109-166</w:t>
            </w:r>
            <w:r w:rsidRPr="00B03701">
              <w:rPr>
                <w:rFonts w:eastAsia="標楷體" w:hint="eastAsia"/>
              </w:rPr>
              <w:t>。</w:t>
            </w:r>
            <w:r w:rsidR="00510964" w:rsidRPr="00B03701">
              <w:rPr>
                <w:rFonts w:eastAsia="標楷體"/>
              </w:rPr>
              <w:tab/>
            </w:r>
          </w:p>
          <w:p w:rsidR="00510964" w:rsidRPr="00346988" w:rsidRDefault="00510964" w:rsidP="00510964">
            <w:pPr>
              <w:pStyle w:val="a3"/>
              <w:numPr>
                <w:ilvl w:val="0"/>
                <w:numId w:val="32"/>
              </w:numPr>
              <w:spacing w:line="340" w:lineRule="exact"/>
              <w:ind w:leftChars="0"/>
              <w:rPr>
                <w:rFonts w:eastAsia="標楷體"/>
              </w:rPr>
            </w:pPr>
            <w:r w:rsidRPr="00346988">
              <w:rPr>
                <w:rFonts w:eastAsia="標楷體"/>
              </w:rPr>
              <w:t>王曉丹、韓宜臻（</w:t>
            </w:r>
            <w:r w:rsidRPr="00346988">
              <w:rPr>
                <w:rFonts w:eastAsia="標楷體"/>
              </w:rPr>
              <w:t>2019</w:t>
            </w:r>
            <w:r w:rsidRPr="00346988">
              <w:rPr>
                <w:rFonts w:eastAsia="標楷體"/>
              </w:rPr>
              <w:t>）。解鎖，開啟新時代的情感：從浪漫愛、匯流愛到主體愛。</w:t>
            </w:r>
            <w:r w:rsidRPr="00346988">
              <w:rPr>
                <w:rFonts w:eastAsia="標楷體"/>
              </w:rPr>
              <w:t>Pp.275-288</w:t>
            </w:r>
            <w:r w:rsidRPr="00346988">
              <w:rPr>
                <w:rFonts w:eastAsia="標楷體"/>
              </w:rPr>
              <w:t>載於王曉丹主編，《這是愛女，也是厭女》。台北：大家。</w:t>
            </w:r>
          </w:p>
          <w:p w:rsidR="00510964" w:rsidRPr="00346988" w:rsidRDefault="00510964" w:rsidP="00E54701">
            <w:pPr>
              <w:pStyle w:val="a3"/>
              <w:numPr>
                <w:ilvl w:val="0"/>
                <w:numId w:val="32"/>
              </w:numPr>
              <w:spacing w:line="340" w:lineRule="exact"/>
              <w:ind w:leftChars="0"/>
              <w:rPr>
                <w:rFonts w:eastAsia="標楷體"/>
              </w:rPr>
            </w:pPr>
            <w:r w:rsidRPr="00346988">
              <w:rPr>
                <w:rFonts w:eastAsia="標楷體"/>
              </w:rPr>
              <w:t>游美惠、莊淑靜編</w:t>
            </w:r>
            <w:r w:rsidRPr="00346988">
              <w:rPr>
                <w:rFonts w:eastAsia="標楷體"/>
              </w:rPr>
              <w:t>. (2020).</w:t>
            </w:r>
            <w:r w:rsidRPr="00346988">
              <w:rPr>
                <w:rFonts w:eastAsia="標楷體"/>
              </w:rPr>
              <w:t>《情感教育</w:t>
            </w:r>
            <w:r w:rsidRPr="00346988">
              <w:rPr>
                <w:rFonts w:eastAsia="標楷體"/>
              </w:rPr>
              <w:t xml:space="preserve"> ALL PASS</w:t>
            </w:r>
            <w:r w:rsidRPr="00346988">
              <w:rPr>
                <w:rFonts w:eastAsia="標楷體"/>
              </w:rPr>
              <w:t>：彙</w:t>
            </w:r>
            <w:r w:rsidR="00E54701" w:rsidRPr="00346988">
              <w:rPr>
                <w:rFonts w:eastAsia="標楷體"/>
              </w:rPr>
              <w:t>編大專校院辦理情感教育相關議題之課程教學與活動參考指引》</w:t>
            </w:r>
            <w:r w:rsidRPr="00346988">
              <w:rPr>
                <w:rFonts w:eastAsia="標楷體"/>
              </w:rPr>
              <w:t>。</w:t>
            </w:r>
            <w:r w:rsidR="00E54701" w:rsidRPr="00346988">
              <w:rPr>
                <w:rFonts w:eastAsia="標楷體"/>
              </w:rPr>
              <w:t>台北：教育部。</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lastRenderedPageBreak/>
              <w:t>8</w:t>
            </w:r>
          </w:p>
        </w:tc>
        <w:tc>
          <w:tcPr>
            <w:tcW w:w="8494" w:type="dxa"/>
          </w:tcPr>
          <w:p w:rsidR="00510964" w:rsidRPr="00346988" w:rsidRDefault="00510964" w:rsidP="00510964">
            <w:pPr>
              <w:spacing w:line="340" w:lineRule="exact"/>
              <w:rPr>
                <w:rFonts w:eastAsia="標楷體"/>
              </w:rPr>
            </w:pPr>
            <w:r w:rsidRPr="00346988">
              <w:rPr>
                <w:rFonts w:eastAsia="標楷體"/>
              </w:rPr>
              <w:t>10/30</w:t>
            </w:r>
            <w:r w:rsidRPr="00346988">
              <w:rPr>
                <w:rFonts w:eastAsia="標楷體"/>
              </w:rPr>
              <w:t>性別與陽剛氣概</w:t>
            </w:r>
          </w:p>
          <w:p w:rsidR="00510964" w:rsidRPr="00346988" w:rsidRDefault="00510964" w:rsidP="00510964">
            <w:pPr>
              <w:pStyle w:val="a3"/>
              <w:numPr>
                <w:ilvl w:val="0"/>
                <w:numId w:val="31"/>
              </w:numPr>
              <w:spacing w:line="340" w:lineRule="exact"/>
              <w:ind w:leftChars="0"/>
              <w:rPr>
                <w:rFonts w:eastAsia="標楷體"/>
              </w:rPr>
            </w:pPr>
            <w:r w:rsidRPr="00346988">
              <w:rPr>
                <w:rFonts w:eastAsia="標楷體"/>
              </w:rPr>
              <w:t xml:space="preserve">Eckstein, J. J. (2013). Being a man: Challenging or reinforcing embodied masculinities in the university classroom. In </w:t>
            </w:r>
            <w:r w:rsidRPr="00346988">
              <w:rPr>
                <w:rFonts w:eastAsia="標楷體"/>
                <w:i/>
              </w:rPr>
              <w:t>Activities for teaching gender and sexuality in the university classroom</w:t>
            </w:r>
            <w:r w:rsidRPr="00346988">
              <w:rPr>
                <w:rFonts w:eastAsia="標楷體"/>
              </w:rPr>
              <w:t>. (pp.155-161). R &amp; L Education.</w:t>
            </w:r>
          </w:p>
          <w:p w:rsidR="00510964" w:rsidRPr="00346988" w:rsidRDefault="00510964" w:rsidP="00510964">
            <w:pPr>
              <w:pStyle w:val="a3"/>
              <w:numPr>
                <w:ilvl w:val="0"/>
                <w:numId w:val="31"/>
              </w:numPr>
              <w:spacing w:line="340" w:lineRule="exact"/>
              <w:ind w:leftChars="0"/>
              <w:rPr>
                <w:rFonts w:eastAsia="標楷體"/>
              </w:rPr>
            </w:pPr>
            <w:r w:rsidRPr="00346988">
              <w:rPr>
                <w:rFonts w:eastAsia="標楷體"/>
              </w:rPr>
              <w:t>Nurturing and Protecting The Emotional Life of the Boy in Your Life as detailed in RAISING CAIN By: Dan Kindlon, Ph.D. and Michael Thompson, Ph.D.</w:t>
            </w:r>
          </w:p>
          <w:p w:rsidR="00510964" w:rsidRPr="00346988" w:rsidRDefault="00510964" w:rsidP="00510964">
            <w:pPr>
              <w:pStyle w:val="a3"/>
              <w:numPr>
                <w:ilvl w:val="0"/>
                <w:numId w:val="31"/>
              </w:numPr>
              <w:spacing w:line="340" w:lineRule="exact"/>
              <w:ind w:leftChars="0"/>
              <w:rPr>
                <w:rFonts w:eastAsia="標楷體"/>
              </w:rPr>
            </w:pPr>
            <w:r w:rsidRPr="00346988">
              <w:rPr>
                <w:rFonts w:eastAsia="標楷體"/>
              </w:rPr>
              <w:t xml:space="preserve">Weiss, E., &amp; Poynter, K. (2013). Femininity and masculinity: An exploration of the relative elements of gender identity. In </w:t>
            </w:r>
            <w:r w:rsidRPr="00346988">
              <w:rPr>
                <w:rFonts w:eastAsia="標楷體"/>
                <w:i/>
              </w:rPr>
              <w:t>Activities for teaching gender and sexuality in the university classroom</w:t>
            </w:r>
            <w:r w:rsidRPr="00346988">
              <w:rPr>
                <w:rFonts w:eastAsia="標楷體"/>
              </w:rPr>
              <w:t>. (pp. 12-16). R &amp; L Education.</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9</w:t>
            </w:r>
          </w:p>
        </w:tc>
        <w:tc>
          <w:tcPr>
            <w:tcW w:w="8494" w:type="dxa"/>
          </w:tcPr>
          <w:p w:rsidR="00B03701" w:rsidRDefault="00510964" w:rsidP="00510964">
            <w:pPr>
              <w:spacing w:line="340" w:lineRule="exact"/>
              <w:rPr>
                <w:rFonts w:eastAsia="標楷體"/>
              </w:rPr>
            </w:pPr>
            <w:r w:rsidRPr="00346988">
              <w:rPr>
                <w:rFonts w:eastAsia="標楷體"/>
              </w:rPr>
              <w:t>11/6</w:t>
            </w:r>
          </w:p>
          <w:p w:rsidR="00B03701" w:rsidRPr="00B03701" w:rsidRDefault="002F46AB" w:rsidP="00B03701">
            <w:pPr>
              <w:spacing w:line="340" w:lineRule="exact"/>
              <w:rPr>
                <w:rFonts w:eastAsia="標楷體"/>
              </w:rPr>
            </w:pPr>
            <w:r>
              <w:rPr>
                <w:rFonts w:eastAsia="標楷體" w:hint="eastAsia"/>
              </w:rPr>
              <w:t>課程調整成</w:t>
            </w:r>
            <w:r w:rsidRPr="002F46AB">
              <w:rPr>
                <w:rFonts w:eastAsia="標楷體" w:hint="eastAsia"/>
              </w:rPr>
              <w:t>11/8(10:30-13:30)</w:t>
            </w:r>
            <w:r w:rsidRPr="002F46AB">
              <w:rPr>
                <w:rFonts w:eastAsia="標楷體" w:hint="eastAsia"/>
              </w:rPr>
              <w:t>活動，「看電影</w:t>
            </w:r>
            <w:r w:rsidRPr="002F46AB">
              <w:rPr>
                <w:rFonts w:eastAsia="標楷體" w:hint="eastAsia"/>
              </w:rPr>
              <w:t>(</w:t>
            </w:r>
            <w:r w:rsidRPr="002F46AB">
              <w:rPr>
                <w:rFonts w:eastAsia="標楷體" w:hint="eastAsia"/>
              </w:rPr>
              <w:t>法律女王</w:t>
            </w:r>
            <w:r w:rsidRPr="002F46AB">
              <w:rPr>
                <w:rFonts w:eastAsia="標楷體" w:hint="eastAsia"/>
              </w:rPr>
              <w:t>)</w:t>
            </w:r>
            <w:r w:rsidRPr="002F46AB">
              <w:rPr>
                <w:rFonts w:eastAsia="標楷體" w:hint="eastAsia"/>
              </w:rPr>
              <w:t>，學性別」</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10</w:t>
            </w:r>
          </w:p>
        </w:tc>
        <w:tc>
          <w:tcPr>
            <w:tcW w:w="8494" w:type="dxa"/>
          </w:tcPr>
          <w:p w:rsidR="00510964" w:rsidRPr="00346988" w:rsidRDefault="00510964" w:rsidP="00510964">
            <w:pPr>
              <w:spacing w:line="340" w:lineRule="exact"/>
              <w:rPr>
                <w:rFonts w:eastAsia="標楷體"/>
              </w:rPr>
            </w:pPr>
            <w:r w:rsidRPr="00346988">
              <w:rPr>
                <w:rFonts w:eastAsia="標楷體"/>
              </w:rPr>
              <w:t>11/13</w:t>
            </w:r>
            <w:r w:rsidR="002F46AB">
              <w:rPr>
                <w:rFonts w:ascii="新細明體" w:hAnsi="新細明體" w:hint="eastAsia"/>
              </w:rPr>
              <w:t>「</w:t>
            </w:r>
            <w:r w:rsidRPr="00346988">
              <w:rPr>
                <w:rFonts w:eastAsia="標楷體"/>
              </w:rPr>
              <w:t>權力、決策與影響力</w:t>
            </w:r>
            <w:r w:rsidR="002F46AB">
              <w:rPr>
                <w:rFonts w:ascii="新細明體" w:hAnsi="新細明體" w:hint="eastAsia"/>
              </w:rPr>
              <w:t>」</w:t>
            </w:r>
            <w:r w:rsidRPr="00346988">
              <w:rPr>
                <w:rFonts w:eastAsia="標楷體"/>
              </w:rPr>
              <w:t>之性別教學策略探討</w:t>
            </w:r>
          </w:p>
          <w:p w:rsidR="00510964" w:rsidRPr="00346988" w:rsidRDefault="00510964" w:rsidP="00510964">
            <w:pPr>
              <w:pStyle w:val="a3"/>
              <w:numPr>
                <w:ilvl w:val="0"/>
                <w:numId w:val="30"/>
              </w:numPr>
              <w:spacing w:line="340" w:lineRule="exact"/>
              <w:ind w:leftChars="0"/>
              <w:rPr>
                <w:rFonts w:eastAsia="標楷體"/>
              </w:rPr>
            </w:pPr>
            <w:r w:rsidRPr="00346988">
              <w:rPr>
                <w:rFonts w:eastAsia="標楷體"/>
              </w:rPr>
              <w:t xml:space="preserve">Watt, S. S. (2013). Analyzing media representations of powerful women in the workplace. In </w:t>
            </w:r>
            <w:r w:rsidRPr="00346988">
              <w:rPr>
                <w:rFonts w:eastAsia="標楷體"/>
                <w:i/>
              </w:rPr>
              <w:t>Activities for teaching gender and sexuality in the university classroom</w:t>
            </w:r>
            <w:r w:rsidRPr="00346988">
              <w:rPr>
                <w:rFonts w:eastAsia="標楷體"/>
              </w:rPr>
              <w:t>. (pp.207-213). R &amp; L Education.</w:t>
            </w:r>
          </w:p>
          <w:p w:rsidR="00510964" w:rsidRPr="00346988" w:rsidRDefault="00510964" w:rsidP="00510964">
            <w:pPr>
              <w:pStyle w:val="a3"/>
              <w:numPr>
                <w:ilvl w:val="0"/>
                <w:numId w:val="30"/>
              </w:numPr>
              <w:spacing w:line="340" w:lineRule="exact"/>
              <w:ind w:leftChars="0"/>
              <w:rPr>
                <w:rFonts w:eastAsia="標楷體"/>
              </w:rPr>
            </w:pPr>
            <w:r w:rsidRPr="00346988">
              <w:rPr>
                <w:rFonts w:eastAsia="標楷體"/>
              </w:rPr>
              <w:t>楊婉瑩。</w:t>
            </w:r>
            <w:r w:rsidRPr="00346988">
              <w:rPr>
                <w:rFonts w:eastAsia="標楷體"/>
              </w:rPr>
              <w:t>(2019)</w:t>
            </w:r>
            <w:r w:rsidRPr="00346988">
              <w:rPr>
                <w:rFonts w:eastAsia="標楷體"/>
              </w:rPr>
              <w:t>。〈沒有選擇的選擇：女性從政者的雙重束縛〉，載於王曉丹主編，《這是愛女，也是厭女》，頁</w:t>
            </w:r>
            <w:r w:rsidRPr="00346988">
              <w:rPr>
                <w:rFonts w:eastAsia="標楷體"/>
              </w:rPr>
              <w:t>171-193</w:t>
            </w:r>
            <w:r w:rsidRPr="00346988">
              <w:rPr>
                <w:rFonts w:eastAsia="標楷體"/>
              </w:rPr>
              <w:t>。新北市：大家出版。</w:t>
            </w:r>
          </w:p>
          <w:p w:rsidR="00510964" w:rsidRPr="00346988" w:rsidRDefault="00510964" w:rsidP="00510964">
            <w:pPr>
              <w:pStyle w:val="a3"/>
              <w:numPr>
                <w:ilvl w:val="0"/>
                <w:numId w:val="30"/>
              </w:numPr>
              <w:spacing w:line="340" w:lineRule="exact"/>
              <w:ind w:leftChars="0"/>
              <w:rPr>
                <w:rFonts w:eastAsia="標楷體"/>
              </w:rPr>
            </w:pPr>
            <w:r w:rsidRPr="00346988">
              <w:rPr>
                <w:rFonts w:eastAsia="標楷體"/>
              </w:rPr>
              <w:t>Dever, R. L. &amp; Mills, A. J. (2015). Are we still telling female studentsthey can’t lead? A content analysis of leadership writings and</w:t>
            </w:r>
            <w:r w:rsidRPr="00346988">
              <w:t xml:space="preserve"> </w:t>
            </w:r>
            <w:r w:rsidRPr="00346988">
              <w:rPr>
                <w:rFonts w:eastAsia="標楷體"/>
              </w:rPr>
              <w:t>representations in organizational behavior texts. In P. M. Flynn, K. Haynes &amp; M. A. Kilgour (Eds.), I</w:t>
            </w:r>
            <w:r w:rsidRPr="00346988">
              <w:rPr>
                <w:rFonts w:eastAsia="標楷體"/>
                <w:i/>
              </w:rPr>
              <w:t>ntegrating Gender Equality into Business and Management Education: Lessons Learned and Challenges Remaining</w:t>
            </w:r>
            <w:r w:rsidRPr="00346988">
              <w:rPr>
                <w:rFonts w:eastAsia="標楷體"/>
              </w:rPr>
              <w:t xml:space="preserve"> (pp. 165-182). Greenleaf Publishing Limited.</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11</w:t>
            </w:r>
          </w:p>
        </w:tc>
        <w:tc>
          <w:tcPr>
            <w:tcW w:w="8494" w:type="dxa"/>
          </w:tcPr>
          <w:p w:rsidR="00510964" w:rsidRPr="00346988" w:rsidRDefault="00510964" w:rsidP="00510964">
            <w:pPr>
              <w:spacing w:line="340" w:lineRule="exact"/>
              <w:rPr>
                <w:rFonts w:eastAsia="標楷體"/>
              </w:rPr>
            </w:pPr>
            <w:r w:rsidRPr="00346988">
              <w:rPr>
                <w:rFonts w:eastAsia="標楷體"/>
              </w:rPr>
              <w:t>11/20</w:t>
            </w:r>
            <w:r w:rsidRPr="00346988">
              <w:rPr>
                <w:rFonts w:eastAsia="標楷體"/>
              </w:rPr>
              <w:t>性教育相關議題探討</w:t>
            </w:r>
          </w:p>
          <w:p w:rsidR="00510964" w:rsidRPr="00346988" w:rsidRDefault="00510964" w:rsidP="00510964">
            <w:pPr>
              <w:pStyle w:val="a3"/>
              <w:numPr>
                <w:ilvl w:val="0"/>
                <w:numId w:val="29"/>
              </w:numPr>
              <w:spacing w:line="340" w:lineRule="exact"/>
              <w:ind w:leftChars="0"/>
              <w:rPr>
                <w:rFonts w:eastAsia="標楷體"/>
              </w:rPr>
            </w:pPr>
            <w:r w:rsidRPr="00346988">
              <w:rPr>
                <w:rFonts w:eastAsia="標楷體"/>
              </w:rPr>
              <w:t xml:space="preserve">Trivette, S. (2013). Sexual secret cards: Examining sexual norms and cultural taboos around sexuality. In </w:t>
            </w:r>
            <w:r w:rsidRPr="00346988">
              <w:rPr>
                <w:rFonts w:eastAsia="標楷體"/>
                <w:i/>
              </w:rPr>
              <w:t>Activities for teaching gender and sexuality in the university classroom</w:t>
            </w:r>
            <w:r w:rsidRPr="00346988">
              <w:rPr>
                <w:rFonts w:eastAsia="標楷體"/>
              </w:rPr>
              <w:t>. (pp. 57-61). R &amp; L Education.</w:t>
            </w:r>
          </w:p>
          <w:p w:rsidR="00510964" w:rsidRPr="00346988" w:rsidRDefault="00510964" w:rsidP="00510964">
            <w:pPr>
              <w:pStyle w:val="a3"/>
              <w:numPr>
                <w:ilvl w:val="0"/>
                <w:numId w:val="29"/>
              </w:numPr>
              <w:spacing w:line="340" w:lineRule="exact"/>
              <w:ind w:leftChars="0"/>
              <w:rPr>
                <w:rFonts w:eastAsia="標楷體"/>
              </w:rPr>
            </w:pPr>
            <w:r w:rsidRPr="00346988">
              <w:rPr>
                <w:rFonts w:eastAsia="標楷體"/>
              </w:rPr>
              <w:t>Berkland, M. K. (2013). Is it theft? Using the ethics of crime to frame a discussion of sexual consent and sexual assault. In</w:t>
            </w:r>
            <w:r w:rsidRPr="00346988">
              <w:rPr>
                <w:rFonts w:eastAsia="標楷體"/>
                <w:i/>
              </w:rPr>
              <w:t xml:space="preserve"> Activities for teaching gender and sexuality in the university classroom</w:t>
            </w:r>
            <w:r w:rsidRPr="00346988">
              <w:rPr>
                <w:rFonts w:eastAsia="標楷體"/>
              </w:rPr>
              <w:t>. (pp. 17-25). R &amp; L Education.</w:t>
            </w:r>
          </w:p>
          <w:p w:rsidR="00510964" w:rsidRPr="00346988" w:rsidRDefault="00510964" w:rsidP="00510964">
            <w:pPr>
              <w:pStyle w:val="a3"/>
              <w:numPr>
                <w:ilvl w:val="0"/>
                <w:numId w:val="29"/>
              </w:numPr>
              <w:spacing w:line="340" w:lineRule="exact"/>
              <w:ind w:leftChars="0"/>
              <w:rPr>
                <w:rFonts w:eastAsia="標楷體"/>
              </w:rPr>
            </w:pPr>
            <w:r w:rsidRPr="00346988">
              <w:rPr>
                <w:rFonts w:eastAsia="標楷體"/>
              </w:rPr>
              <w:t xml:space="preserve">Nodulman, J. A. (2013). Let’s talk about sex: Teaching college students how to navigate sexual communication conversations with relational partners. In </w:t>
            </w:r>
            <w:r w:rsidRPr="00346988">
              <w:rPr>
                <w:rFonts w:eastAsia="標楷體"/>
                <w:i/>
              </w:rPr>
              <w:t>Activities for teaching gender and sexuality in the university classroom</w:t>
            </w:r>
            <w:r w:rsidRPr="00346988">
              <w:rPr>
                <w:rFonts w:eastAsia="標楷體"/>
              </w:rPr>
              <w:t>. (pp. 104-116). R &amp; L Education.</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lastRenderedPageBreak/>
              <w:t>12</w:t>
            </w:r>
          </w:p>
          <w:p w:rsidR="00510964" w:rsidRPr="00346988" w:rsidRDefault="00510964" w:rsidP="00510964">
            <w:pPr>
              <w:spacing w:line="340" w:lineRule="exact"/>
              <w:jc w:val="center"/>
              <w:rPr>
                <w:rFonts w:eastAsia="標楷體"/>
              </w:rPr>
            </w:pPr>
            <w:r w:rsidRPr="00346988">
              <w:rPr>
                <w:rFonts w:eastAsia="標楷體"/>
              </w:rPr>
              <w:t>13</w:t>
            </w:r>
          </w:p>
        </w:tc>
        <w:tc>
          <w:tcPr>
            <w:tcW w:w="8494" w:type="dxa"/>
          </w:tcPr>
          <w:p w:rsidR="00510964" w:rsidRPr="00346988" w:rsidRDefault="00510964" w:rsidP="00510964">
            <w:pPr>
              <w:spacing w:line="340" w:lineRule="exact"/>
              <w:rPr>
                <w:rFonts w:eastAsia="標楷體"/>
              </w:rPr>
            </w:pPr>
            <w:r w:rsidRPr="00346988">
              <w:rPr>
                <w:rFonts w:eastAsia="標楷體"/>
              </w:rPr>
              <w:t>11/27 &amp; 12/4</w:t>
            </w:r>
            <w:r w:rsidRPr="00346988">
              <w:rPr>
                <w:rFonts w:eastAsia="標楷體"/>
              </w:rPr>
              <w:t>性同意權與數位性別暴力</w:t>
            </w:r>
          </w:p>
          <w:p w:rsidR="00510964" w:rsidRPr="00346988" w:rsidRDefault="00510964" w:rsidP="00CB7D9A">
            <w:pPr>
              <w:pStyle w:val="a3"/>
              <w:numPr>
                <w:ilvl w:val="0"/>
                <w:numId w:val="36"/>
              </w:numPr>
              <w:spacing w:line="340" w:lineRule="exact"/>
              <w:ind w:leftChars="0"/>
              <w:rPr>
                <w:rFonts w:eastAsia="標楷體"/>
              </w:rPr>
            </w:pPr>
            <w:r w:rsidRPr="00346988">
              <w:rPr>
                <w:rFonts w:eastAsia="標楷體"/>
              </w:rPr>
              <w:t>劉慧雯</w:t>
            </w:r>
            <w:r w:rsidRPr="00346988">
              <w:rPr>
                <w:rFonts w:eastAsia="標楷體"/>
              </w:rPr>
              <w:t>. (2015)</w:t>
            </w:r>
            <w:r w:rsidRPr="00346988">
              <w:rPr>
                <w:rFonts w:eastAsia="標楷體"/>
              </w:rPr>
              <w:t>。從媒體素養到新素養</w:t>
            </w:r>
            <w:r w:rsidRPr="00346988">
              <w:rPr>
                <w:rFonts w:eastAsia="標楷體"/>
              </w:rPr>
              <w:t xml:space="preserve">: </w:t>
            </w:r>
            <w:r w:rsidRPr="00346988">
              <w:rPr>
                <w:rFonts w:eastAsia="標楷體"/>
              </w:rPr>
              <w:t>試論教學策略與認識論的轉變。《中華傳播學刊》</w:t>
            </w:r>
            <w:r w:rsidRPr="00346988">
              <w:rPr>
                <w:rFonts w:eastAsia="標楷體"/>
              </w:rPr>
              <w:t>, (27), 67-98.</w:t>
            </w:r>
          </w:p>
          <w:p w:rsidR="00510964" w:rsidRPr="00346988" w:rsidRDefault="00B11EFD" w:rsidP="00CB7D9A">
            <w:pPr>
              <w:pStyle w:val="a3"/>
              <w:numPr>
                <w:ilvl w:val="0"/>
                <w:numId w:val="36"/>
              </w:numPr>
              <w:spacing w:line="340" w:lineRule="exact"/>
              <w:ind w:leftChars="0"/>
              <w:rPr>
                <w:rFonts w:eastAsia="標楷體"/>
              </w:rPr>
            </w:pPr>
            <w:r w:rsidRPr="00346988">
              <w:rPr>
                <w:rFonts w:eastAsia="標楷體"/>
              </w:rPr>
              <w:t xml:space="preserve">Paske, K. (2022). Primary prevention in higher education. </w:t>
            </w:r>
            <w:r w:rsidR="00CB7D9A" w:rsidRPr="00346988">
              <w:rPr>
                <w:rFonts w:eastAsia="標楷體"/>
              </w:rPr>
              <w:t xml:space="preserve">In Humphreys, C. J., &amp; Towl, G. J. (Eds.). (2022). </w:t>
            </w:r>
            <w:r w:rsidR="00CB7D9A" w:rsidRPr="00346988">
              <w:rPr>
                <w:rFonts w:eastAsia="標楷體"/>
                <w:i/>
              </w:rPr>
              <w:t xml:space="preserve">Stopping gender-based violence in higher education: policy, practice, and partnerships </w:t>
            </w:r>
            <w:r w:rsidR="00CB7D9A" w:rsidRPr="00346988">
              <w:rPr>
                <w:rFonts w:eastAsia="標楷體"/>
              </w:rPr>
              <w:t>(pp.</w:t>
            </w:r>
            <w:r w:rsidRPr="00346988">
              <w:rPr>
                <w:rFonts w:eastAsia="標楷體"/>
              </w:rPr>
              <w:t>262-282).</w:t>
            </w:r>
            <w:r w:rsidR="00CB7D9A" w:rsidRPr="00346988">
              <w:rPr>
                <w:rFonts w:eastAsia="標楷體"/>
              </w:rPr>
              <w:t xml:space="preserve"> Taylor &amp; Francis.</w:t>
            </w:r>
          </w:p>
          <w:p w:rsidR="00510964" w:rsidRPr="00346988" w:rsidRDefault="00510964" w:rsidP="00CB7D9A">
            <w:pPr>
              <w:pStyle w:val="a3"/>
              <w:numPr>
                <w:ilvl w:val="0"/>
                <w:numId w:val="36"/>
              </w:numPr>
              <w:spacing w:line="340" w:lineRule="exact"/>
              <w:ind w:leftChars="0"/>
              <w:rPr>
                <w:rFonts w:eastAsia="標楷體"/>
              </w:rPr>
            </w:pPr>
            <w:r w:rsidRPr="00346988">
              <w:rPr>
                <w:rFonts w:eastAsia="標楷體"/>
              </w:rPr>
              <w:t xml:space="preserve">Humphreys, C. J., &amp; Towl, G. J. </w:t>
            </w:r>
            <w:r w:rsidR="00CB7D9A" w:rsidRPr="00346988">
              <w:rPr>
                <w:rFonts w:eastAsia="標楷體"/>
              </w:rPr>
              <w:t>(2022). We should do something (someday): Identi</w:t>
            </w:r>
            <w:r w:rsidR="002F46AB">
              <w:rPr>
                <w:rFonts w:eastAsia="標楷體"/>
              </w:rPr>
              <w:t>fying and working through resis</w:t>
            </w:r>
            <w:r w:rsidR="00CB7D9A" w:rsidRPr="00346988">
              <w:rPr>
                <w:rFonts w:eastAsia="標楷體"/>
              </w:rPr>
              <w:t xml:space="preserve">tance to gender-based violence prevention. In Humphreys, C. J., &amp; Towl, G. J. (Eds.). (2022). </w:t>
            </w:r>
            <w:r w:rsidR="00CB7D9A" w:rsidRPr="00346988">
              <w:rPr>
                <w:rFonts w:eastAsia="標楷體"/>
                <w:i/>
              </w:rPr>
              <w:t>Stopping gender-based violence in higher education: policy, practice, and partnerships</w:t>
            </w:r>
            <w:r w:rsidR="00CB7D9A" w:rsidRPr="00346988">
              <w:rPr>
                <w:rFonts w:eastAsia="標楷體"/>
              </w:rPr>
              <w:t xml:space="preserve"> (pp.302-320). Taylor &amp; Francis.</w:t>
            </w:r>
          </w:p>
          <w:p w:rsidR="00510964" w:rsidRPr="00346988" w:rsidRDefault="00510964" w:rsidP="00CB7D9A">
            <w:pPr>
              <w:pStyle w:val="a3"/>
              <w:numPr>
                <w:ilvl w:val="0"/>
                <w:numId w:val="36"/>
              </w:numPr>
              <w:spacing w:line="340" w:lineRule="exact"/>
              <w:ind w:leftChars="0"/>
              <w:rPr>
                <w:rFonts w:eastAsia="標楷體"/>
              </w:rPr>
            </w:pPr>
            <w:r w:rsidRPr="00346988">
              <w:rPr>
                <w:rFonts w:eastAsia="標楷體"/>
              </w:rPr>
              <w:t xml:space="preserve">Phippen, A. and Bond, E. </w:t>
            </w:r>
            <w:r w:rsidR="00CB7D9A" w:rsidRPr="00346988">
              <w:rPr>
                <w:rFonts w:eastAsia="標楷體"/>
              </w:rPr>
              <w:t xml:space="preserve">(2022). Working with schools to tackle online harms and gender-based violence. In Humphreys, C. J., &amp; Towl, G. J. (Eds.). (2022). </w:t>
            </w:r>
            <w:r w:rsidR="00CB7D9A" w:rsidRPr="00346988">
              <w:rPr>
                <w:rFonts w:eastAsia="標楷體"/>
                <w:i/>
              </w:rPr>
              <w:t>Stopping gender-based violence in higher education: policy, practice, and partnerships</w:t>
            </w:r>
            <w:r w:rsidR="00CB7D9A" w:rsidRPr="00346988">
              <w:rPr>
                <w:rFonts w:eastAsia="標楷體"/>
              </w:rPr>
              <w:t xml:space="preserve"> (pp.390-412). Taylor &amp; Francis.</w:t>
            </w:r>
          </w:p>
          <w:p w:rsidR="00510964" w:rsidRPr="00346988" w:rsidRDefault="00152D31" w:rsidP="00152D31">
            <w:pPr>
              <w:pStyle w:val="a3"/>
              <w:numPr>
                <w:ilvl w:val="0"/>
                <w:numId w:val="36"/>
              </w:numPr>
              <w:spacing w:line="340" w:lineRule="exact"/>
              <w:ind w:leftChars="0"/>
              <w:rPr>
                <w:rFonts w:eastAsia="標楷體"/>
              </w:rPr>
            </w:pPr>
            <w:r w:rsidRPr="00346988">
              <w:rPr>
                <w:rFonts w:eastAsia="標楷體"/>
              </w:rPr>
              <w:t>數位性別暴力</w:t>
            </w:r>
            <w:r w:rsidR="00CB7D9A" w:rsidRPr="00346988">
              <w:rPr>
                <w:rFonts w:eastAsia="標楷體"/>
              </w:rPr>
              <w:t>桌遊</w:t>
            </w:r>
            <w:r w:rsidRPr="00346988">
              <w:rPr>
                <w:rFonts w:eastAsia="標楷體"/>
              </w:rPr>
              <w:t>：更多發展的可能性</w:t>
            </w:r>
          </w:p>
        </w:tc>
      </w:tr>
      <w:tr w:rsidR="00510964" w:rsidRPr="00346988" w:rsidTr="00510964">
        <w:trPr>
          <w:cantSplit/>
        </w:trPr>
        <w:tc>
          <w:tcPr>
            <w:tcW w:w="360" w:type="dxa"/>
          </w:tcPr>
          <w:p w:rsidR="00510964" w:rsidRPr="00346988" w:rsidRDefault="00510964" w:rsidP="00510964">
            <w:pPr>
              <w:spacing w:line="340" w:lineRule="exact"/>
              <w:jc w:val="center"/>
              <w:rPr>
                <w:rFonts w:eastAsia="標楷體"/>
              </w:rPr>
            </w:pPr>
            <w:r w:rsidRPr="00346988">
              <w:rPr>
                <w:rFonts w:eastAsia="標楷體"/>
              </w:rPr>
              <w:t>14</w:t>
            </w:r>
          </w:p>
          <w:p w:rsidR="00510964" w:rsidRPr="00346988" w:rsidRDefault="00510964" w:rsidP="00510964">
            <w:pPr>
              <w:spacing w:line="340" w:lineRule="exact"/>
              <w:jc w:val="center"/>
              <w:rPr>
                <w:rFonts w:eastAsia="標楷體"/>
              </w:rPr>
            </w:pPr>
            <w:r w:rsidRPr="00346988">
              <w:rPr>
                <w:rFonts w:eastAsia="標楷體"/>
              </w:rPr>
              <w:t>15</w:t>
            </w:r>
          </w:p>
        </w:tc>
        <w:tc>
          <w:tcPr>
            <w:tcW w:w="8494" w:type="dxa"/>
          </w:tcPr>
          <w:p w:rsidR="00510964" w:rsidRPr="00346988" w:rsidRDefault="00510964" w:rsidP="00510964">
            <w:pPr>
              <w:spacing w:line="340" w:lineRule="exact"/>
              <w:rPr>
                <w:rFonts w:eastAsia="標楷體"/>
              </w:rPr>
            </w:pPr>
            <w:r w:rsidRPr="00346988">
              <w:rPr>
                <w:rFonts w:eastAsia="標楷體"/>
              </w:rPr>
              <w:t xml:space="preserve">12/11 &amp; 12/18 </w:t>
            </w:r>
            <w:r w:rsidRPr="00346988">
              <w:rPr>
                <w:rFonts w:eastAsia="標楷體"/>
              </w:rPr>
              <w:t>同志（友善）教育教學策略</w:t>
            </w:r>
            <w:r w:rsidRPr="00346988">
              <w:rPr>
                <w:rFonts w:eastAsia="標楷體"/>
              </w:rPr>
              <w:t>:</w:t>
            </w:r>
          </w:p>
          <w:p w:rsidR="00510964" w:rsidRPr="00346988" w:rsidRDefault="00510964" w:rsidP="00510964">
            <w:pPr>
              <w:pStyle w:val="a3"/>
              <w:numPr>
                <w:ilvl w:val="0"/>
                <w:numId w:val="28"/>
              </w:numPr>
              <w:spacing w:line="340" w:lineRule="exact"/>
              <w:ind w:leftChars="0"/>
              <w:rPr>
                <w:rFonts w:eastAsia="標楷體"/>
              </w:rPr>
            </w:pPr>
            <w:r w:rsidRPr="00346988">
              <w:rPr>
                <w:rFonts w:eastAsia="標楷體"/>
              </w:rPr>
              <w:t>DePalma, R., &amp; Atkinson, E. (2009). ‘No outsiders’: Moving beyond a discourse of tolerance to challenge heteronormativity in primary schools. B</w:t>
            </w:r>
            <w:r w:rsidRPr="00346988">
              <w:rPr>
                <w:rFonts w:eastAsia="標楷體"/>
                <w:i/>
              </w:rPr>
              <w:t>ritish Educational Research Journal, 35</w:t>
            </w:r>
            <w:r w:rsidRPr="00346988">
              <w:rPr>
                <w:rFonts w:eastAsia="標楷體"/>
              </w:rPr>
              <w:t>(6), 837-855.</w:t>
            </w:r>
          </w:p>
          <w:p w:rsidR="00510964" w:rsidRPr="00346988" w:rsidRDefault="00510964" w:rsidP="00510964">
            <w:pPr>
              <w:pStyle w:val="a3"/>
              <w:numPr>
                <w:ilvl w:val="0"/>
                <w:numId w:val="28"/>
              </w:numPr>
              <w:spacing w:line="340" w:lineRule="exact"/>
              <w:ind w:leftChars="0"/>
            </w:pPr>
            <w:r w:rsidRPr="00346988">
              <w:rPr>
                <w:rFonts w:eastAsia="標楷體"/>
              </w:rPr>
              <w:t xml:space="preserve">DePalma, R., &amp; Atkinson, E. (2010). The nature of institutional heteronormativity in primary schools and practice-based responses. </w:t>
            </w:r>
            <w:r w:rsidRPr="00346988">
              <w:rPr>
                <w:rFonts w:eastAsia="標楷體"/>
                <w:i/>
              </w:rPr>
              <w:t>Teaching and Teacher Education, 26</w:t>
            </w:r>
            <w:r w:rsidRPr="00346988">
              <w:rPr>
                <w:rFonts w:eastAsia="標楷體"/>
              </w:rPr>
              <w:t>(8), 1669-1676.</w:t>
            </w:r>
            <w:r w:rsidRPr="00346988">
              <w:t xml:space="preserve"> </w:t>
            </w:r>
          </w:p>
          <w:p w:rsidR="00510964" w:rsidRPr="00346988" w:rsidRDefault="00510964" w:rsidP="00510964">
            <w:pPr>
              <w:pStyle w:val="a3"/>
              <w:numPr>
                <w:ilvl w:val="0"/>
                <w:numId w:val="28"/>
              </w:numPr>
              <w:spacing w:line="340" w:lineRule="exact"/>
              <w:ind w:leftChars="0"/>
              <w:rPr>
                <w:rFonts w:eastAsia="標楷體"/>
              </w:rPr>
            </w:pPr>
            <w:r w:rsidRPr="00346988">
              <w:rPr>
                <w:rFonts w:eastAsia="標楷體"/>
              </w:rPr>
              <w:t xml:space="preserve">Ochs, R. &amp; Murphy, M. J. (2013). Beyond binaries: Seeing sexual diversity in the classroom. In </w:t>
            </w:r>
            <w:r w:rsidRPr="00346988">
              <w:rPr>
                <w:rFonts w:eastAsia="標楷體"/>
                <w:i/>
              </w:rPr>
              <w:t>Activities for teaching gender and sexuality in the university classroom</w:t>
            </w:r>
            <w:r w:rsidRPr="00346988">
              <w:rPr>
                <w:rFonts w:eastAsia="標楷體"/>
              </w:rPr>
              <w:t>. (pp. 62-70). R &amp; L Education.</w:t>
            </w:r>
          </w:p>
          <w:p w:rsidR="00510964" w:rsidRPr="00346988" w:rsidRDefault="00510964" w:rsidP="00510964">
            <w:pPr>
              <w:pStyle w:val="a3"/>
              <w:numPr>
                <w:ilvl w:val="0"/>
                <w:numId w:val="28"/>
              </w:numPr>
              <w:spacing w:line="340" w:lineRule="exact"/>
              <w:ind w:leftChars="0"/>
              <w:rPr>
                <w:rFonts w:eastAsia="標楷體"/>
              </w:rPr>
            </w:pPr>
            <w:r w:rsidRPr="00346988">
              <w:rPr>
                <w:rFonts w:eastAsia="標楷體"/>
              </w:rPr>
              <w:t xml:space="preserve">Krebbekx, W. (2021). Watching six-packs, chilling together, spreading rumours: Enacting heteronormativity through secondary school friendships and teaching practices. </w:t>
            </w:r>
            <w:r w:rsidRPr="00346988">
              <w:rPr>
                <w:rFonts w:eastAsia="標楷體"/>
                <w:i/>
              </w:rPr>
              <w:t>Gender and Education, 33</w:t>
            </w:r>
            <w:r w:rsidRPr="00346988">
              <w:rPr>
                <w:rFonts w:eastAsia="標楷體"/>
              </w:rPr>
              <w:t>(1), 17-32.</w:t>
            </w:r>
          </w:p>
        </w:tc>
      </w:tr>
      <w:tr w:rsidR="00510964" w:rsidRPr="00346988" w:rsidTr="00510964">
        <w:trPr>
          <w:cantSplit/>
        </w:trPr>
        <w:tc>
          <w:tcPr>
            <w:tcW w:w="360" w:type="dxa"/>
          </w:tcPr>
          <w:p w:rsidR="00510964" w:rsidRPr="00346988" w:rsidRDefault="00510964" w:rsidP="00510964">
            <w:pPr>
              <w:spacing w:line="340" w:lineRule="exact"/>
              <w:rPr>
                <w:rFonts w:eastAsia="標楷體"/>
              </w:rPr>
            </w:pPr>
            <w:r w:rsidRPr="00346988">
              <w:rPr>
                <w:rFonts w:eastAsia="標楷體"/>
              </w:rPr>
              <w:lastRenderedPageBreak/>
              <w:t>16</w:t>
            </w:r>
          </w:p>
        </w:tc>
        <w:tc>
          <w:tcPr>
            <w:tcW w:w="8494" w:type="dxa"/>
          </w:tcPr>
          <w:p w:rsidR="00510964" w:rsidRPr="00346988" w:rsidRDefault="00534AB7" w:rsidP="00510964">
            <w:pPr>
              <w:spacing w:line="340" w:lineRule="exact"/>
              <w:rPr>
                <w:rFonts w:eastAsia="標楷體"/>
                <w:b/>
              </w:rPr>
            </w:pPr>
            <w:r>
              <w:rPr>
                <w:rFonts w:eastAsia="標楷體"/>
              </w:rPr>
              <w:t xml:space="preserve">12/25 </w:t>
            </w:r>
            <w:r w:rsidR="00510964" w:rsidRPr="00346988">
              <w:rPr>
                <w:rFonts w:eastAsia="標楷體"/>
              </w:rPr>
              <w:t>管理學門的性別教育教學策略</w:t>
            </w:r>
            <w:r w:rsidR="00510964" w:rsidRPr="00346988">
              <w:rPr>
                <w:rFonts w:eastAsia="標楷體"/>
              </w:rPr>
              <w:t>(</w:t>
            </w:r>
            <w:r w:rsidR="00510964" w:rsidRPr="00346988">
              <w:rPr>
                <w:rFonts w:eastAsia="標楷體"/>
              </w:rPr>
              <w:t>三擇一，期末口頭報告</w:t>
            </w:r>
            <w:r w:rsidR="00510964" w:rsidRPr="00346988">
              <w:rPr>
                <w:rFonts w:eastAsia="標楷體"/>
              </w:rPr>
              <w:t>)</w:t>
            </w:r>
          </w:p>
          <w:p w:rsidR="00510964" w:rsidRPr="00346988" w:rsidRDefault="00510964" w:rsidP="00510964">
            <w:pPr>
              <w:pStyle w:val="a3"/>
              <w:numPr>
                <w:ilvl w:val="0"/>
                <w:numId w:val="23"/>
              </w:numPr>
              <w:spacing w:line="340" w:lineRule="exact"/>
              <w:ind w:leftChars="0"/>
              <w:rPr>
                <w:rFonts w:eastAsia="標楷體"/>
              </w:rPr>
            </w:pPr>
            <w:r w:rsidRPr="00346988">
              <w:rPr>
                <w:rFonts w:eastAsia="標楷體"/>
              </w:rPr>
              <w:t xml:space="preserve">Kilgour, M. A. &amp;Peat, J. (2015). Gender equality in management education: Past, present and future. In P. M. Flynn, K. Haynes &amp; M. A. Kilgour (Eds.), </w:t>
            </w:r>
            <w:r w:rsidRPr="00346988">
              <w:rPr>
                <w:rFonts w:eastAsia="標楷體"/>
                <w:i/>
              </w:rPr>
              <w:t>Integrating Gender Equality into Business and Management Education: Lessons Learned and Challenges Remaining</w:t>
            </w:r>
            <w:r w:rsidRPr="00346988">
              <w:rPr>
                <w:rFonts w:eastAsia="標楷體"/>
              </w:rPr>
              <w:t xml:space="preserve"> (pp. 10-25). Greenleaf Publishing Limited.</w:t>
            </w:r>
          </w:p>
          <w:p w:rsidR="00510964" w:rsidRPr="00346988" w:rsidRDefault="00510964" w:rsidP="00510964">
            <w:pPr>
              <w:pStyle w:val="a3"/>
              <w:numPr>
                <w:ilvl w:val="0"/>
                <w:numId w:val="23"/>
              </w:numPr>
              <w:spacing w:line="340" w:lineRule="exact"/>
              <w:ind w:leftChars="0"/>
              <w:rPr>
                <w:rFonts w:eastAsia="標楷體"/>
              </w:rPr>
            </w:pPr>
            <w:r w:rsidRPr="00346988">
              <w:rPr>
                <w:rFonts w:eastAsia="標楷體"/>
              </w:rPr>
              <w:t xml:space="preserve">Hall, J. &amp;Peat, J. (2015). Gender and pedagogy: A business school case study. In P. M. Flynn, K. Haynes &amp; M. A. Kilgour (Eds.), </w:t>
            </w:r>
            <w:r w:rsidRPr="00346988">
              <w:rPr>
                <w:rFonts w:eastAsia="標楷體"/>
                <w:i/>
              </w:rPr>
              <w:t>Integrating Gender Equality into Business and Management Education: Lessons Learned and Challenges Remaining</w:t>
            </w:r>
            <w:r w:rsidRPr="00346988">
              <w:rPr>
                <w:rFonts w:eastAsia="標楷體"/>
              </w:rPr>
              <w:t xml:space="preserve"> (pp. 326-344). Greenleaf Publishing Limited.</w:t>
            </w:r>
          </w:p>
          <w:p w:rsidR="00510964" w:rsidRPr="00346988" w:rsidRDefault="00510964" w:rsidP="00510964">
            <w:pPr>
              <w:pStyle w:val="a3"/>
              <w:numPr>
                <w:ilvl w:val="0"/>
                <w:numId w:val="23"/>
              </w:numPr>
              <w:spacing w:line="340" w:lineRule="exact"/>
              <w:ind w:leftChars="0"/>
              <w:rPr>
                <w:rFonts w:eastAsia="標楷體"/>
              </w:rPr>
            </w:pPr>
            <w:r w:rsidRPr="00346988">
              <w:rPr>
                <w:rFonts w:eastAsia="標楷體"/>
              </w:rPr>
              <w:t>Bilimoria, D. (2015). Integrating gender equality into management education: An MBA course on women in organizations. In P. M. Flynn, K. Haynes &amp; M. A. Kilgour (Eds.),</w:t>
            </w:r>
            <w:r w:rsidRPr="00346988">
              <w:rPr>
                <w:rFonts w:eastAsia="標楷體"/>
                <w:i/>
              </w:rPr>
              <w:t xml:space="preserve"> Integrating Gender Equality into Business and Management Education: Lessons Learned and Challenges Remaining</w:t>
            </w:r>
            <w:r w:rsidRPr="00346988">
              <w:rPr>
                <w:rFonts w:eastAsia="標楷體"/>
              </w:rPr>
              <w:t xml:space="preserve"> (pp. 345-357). Greenleaf Publishing Limited.</w:t>
            </w:r>
          </w:p>
        </w:tc>
      </w:tr>
      <w:tr w:rsidR="00510964" w:rsidRPr="00346988" w:rsidTr="00510964">
        <w:trPr>
          <w:cantSplit/>
        </w:trPr>
        <w:tc>
          <w:tcPr>
            <w:tcW w:w="360" w:type="dxa"/>
          </w:tcPr>
          <w:p w:rsidR="00510964" w:rsidRPr="00346988" w:rsidRDefault="00510964" w:rsidP="00510964">
            <w:pPr>
              <w:spacing w:line="340" w:lineRule="exact"/>
              <w:rPr>
                <w:rFonts w:eastAsia="標楷體"/>
              </w:rPr>
            </w:pPr>
            <w:r w:rsidRPr="00346988">
              <w:rPr>
                <w:rFonts w:eastAsia="標楷體"/>
              </w:rPr>
              <w:t>17</w:t>
            </w:r>
          </w:p>
        </w:tc>
        <w:tc>
          <w:tcPr>
            <w:tcW w:w="8494" w:type="dxa"/>
          </w:tcPr>
          <w:p w:rsidR="00510964" w:rsidRPr="00346988" w:rsidRDefault="00510964" w:rsidP="00510964">
            <w:pPr>
              <w:spacing w:line="340" w:lineRule="exact"/>
              <w:rPr>
                <w:rFonts w:eastAsia="標楷體"/>
              </w:rPr>
            </w:pPr>
            <w:r w:rsidRPr="00346988">
              <w:rPr>
                <w:rFonts w:eastAsia="標楷體"/>
              </w:rPr>
              <w:t xml:space="preserve">2024/1/1 </w:t>
            </w:r>
            <w:r w:rsidRPr="00346988">
              <w:rPr>
                <w:rFonts w:eastAsia="標楷體"/>
              </w:rPr>
              <w:t>放假一天</w:t>
            </w:r>
          </w:p>
        </w:tc>
      </w:tr>
      <w:tr w:rsidR="00510964" w:rsidRPr="00346988" w:rsidTr="00510964">
        <w:trPr>
          <w:cantSplit/>
        </w:trPr>
        <w:tc>
          <w:tcPr>
            <w:tcW w:w="360" w:type="dxa"/>
          </w:tcPr>
          <w:p w:rsidR="00510964" w:rsidRPr="00346988" w:rsidRDefault="00510964" w:rsidP="00510964">
            <w:pPr>
              <w:spacing w:line="340" w:lineRule="exact"/>
              <w:rPr>
                <w:rFonts w:eastAsia="標楷體"/>
              </w:rPr>
            </w:pPr>
            <w:r w:rsidRPr="00346988">
              <w:rPr>
                <w:rFonts w:eastAsia="標楷體"/>
              </w:rPr>
              <w:t>18</w:t>
            </w:r>
          </w:p>
        </w:tc>
        <w:tc>
          <w:tcPr>
            <w:tcW w:w="8494" w:type="dxa"/>
          </w:tcPr>
          <w:p w:rsidR="00510964" w:rsidRPr="00346988" w:rsidRDefault="00510964" w:rsidP="00C04F02">
            <w:pPr>
              <w:spacing w:line="340" w:lineRule="exact"/>
              <w:rPr>
                <w:rFonts w:eastAsia="標楷體"/>
              </w:rPr>
            </w:pPr>
            <w:r w:rsidRPr="00346988">
              <w:rPr>
                <w:rFonts w:eastAsia="標楷體"/>
              </w:rPr>
              <w:t>期末考週</w:t>
            </w:r>
            <w:r w:rsidR="00C04F02">
              <w:rPr>
                <w:rFonts w:eastAsia="標楷體" w:hint="eastAsia"/>
              </w:rPr>
              <w:t>(</w:t>
            </w:r>
            <w:r w:rsidR="00C04F02">
              <w:rPr>
                <w:rFonts w:eastAsia="標楷體" w:hint="eastAsia"/>
              </w:rPr>
              <w:t>繳交期末學習心得，約</w:t>
            </w:r>
            <w:r w:rsidR="00C04F02">
              <w:rPr>
                <w:rFonts w:eastAsia="標楷體" w:hint="eastAsia"/>
              </w:rPr>
              <w:t>1000</w:t>
            </w:r>
            <w:r w:rsidR="00C04F02">
              <w:rPr>
                <w:rFonts w:eastAsia="標楷體" w:hint="eastAsia"/>
              </w:rPr>
              <w:t>字</w:t>
            </w:r>
            <w:r w:rsidR="00C04F02">
              <w:rPr>
                <w:rFonts w:eastAsia="標楷體" w:hint="eastAsia"/>
              </w:rPr>
              <w:t>)</w:t>
            </w:r>
          </w:p>
        </w:tc>
      </w:tr>
    </w:tbl>
    <w:p w:rsidR="00341620" w:rsidRPr="00346988" w:rsidRDefault="00341620" w:rsidP="00D5512E">
      <w:pPr>
        <w:spacing w:line="340" w:lineRule="exact"/>
        <w:rPr>
          <w:rFonts w:eastAsia="標楷體"/>
          <w:b/>
        </w:rPr>
      </w:pPr>
    </w:p>
    <w:p w:rsidR="00D5512E" w:rsidRPr="00346988" w:rsidRDefault="00164A0F" w:rsidP="00B11EFD">
      <w:pPr>
        <w:spacing w:line="340" w:lineRule="exact"/>
        <w:rPr>
          <w:rFonts w:eastAsia="標楷體"/>
          <w:b/>
        </w:rPr>
      </w:pPr>
      <w:r w:rsidRPr="00346988">
        <w:rPr>
          <w:rFonts w:eastAsia="標楷體"/>
          <w:b/>
        </w:rPr>
        <w:t>七</w:t>
      </w:r>
      <w:r w:rsidR="00D5512E" w:rsidRPr="00346988">
        <w:rPr>
          <w:rFonts w:eastAsia="標楷體"/>
          <w:b/>
        </w:rPr>
        <w:t>、</w:t>
      </w:r>
      <w:r w:rsidRPr="00346988">
        <w:rPr>
          <w:rFonts w:eastAsia="標楷體"/>
          <w:b/>
        </w:rPr>
        <w:t>其他</w:t>
      </w:r>
      <w:r w:rsidR="00D5512E" w:rsidRPr="00346988">
        <w:rPr>
          <w:rFonts w:eastAsia="標楷體"/>
          <w:b/>
        </w:rPr>
        <w:t>參考書目</w:t>
      </w:r>
      <w:r w:rsidR="00C87F9C">
        <w:rPr>
          <w:rFonts w:eastAsia="標楷體" w:hint="eastAsia"/>
          <w:b/>
        </w:rPr>
        <w:t>與教學資源</w:t>
      </w:r>
      <w:r w:rsidR="00D5512E" w:rsidRPr="00346988">
        <w:rPr>
          <w:rFonts w:eastAsia="標楷體"/>
          <w:b/>
        </w:rPr>
        <w:t>：</w:t>
      </w:r>
    </w:p>
    <w:p w:rsidR="00D5512E" w:rsidRPr="00346988" w:rsidRDefault="00D5512E" w:rsidP="00CD258F">
      <w:pPr>
        <w:spacing w:line="340" w:lineRule="exact"/>
        <w:ind w:left="480" w:hangingChars="200" w:hanging="480"/>
        <w:rPr>
          <w:rFonts w:eastAsia="標楷體"/>
        </w:rPr>
      </w:pPr>
      <w:r w:rsidRPr="00346988">
        <w:rPr>
          <w:rFonts w:eastAsia="標楷體"/>
        </w:rPr>
        <w:t>游美惠、蔡麗玲主編</w:t>
      </w:r>
      <w:r w:rsidR="00CD258F" w:rsidRPr="00346988">
        <w:rPr>
          <w:rFonts w:eastAsia="標楷體"/>
        </w:rPr>
        <w:t>，</w:t>
      </w:r>
      <w:r w:rsidR="00CD258F" w:rsidRPr="00346988">
        <w:rPr>
          <w:rFonts w:eastAsia="標楷體"/>
        </w:rPr>
        <w:t>(</w:t>
      </w:r>
      <w:r w:rsidRPr="00346988">
        <w:rPr>
          <w:rFonts w:eastAsia="標楷體"/>
        </w:rPr>
        <w:t>2010</w:t>
      </w:r>
      <w:r w:rsidR="00CD258F" w:rsidRPr="00346988">
        <w:rPr>
          <w:rFonts w:eastAsia="標楷體"/>
        </w:rPr>
        <w:t>)</w:t>
      </w:r>
      <w:r w:rsidR="00CD258F" w:rsidRPr="00346988">
        <w:rPr>
          <w:rFonts w:eastAsia="標楷體"/>
        </w:rPr>
        <w:t>。</w:t>
      </w:r>
      <w:r w:rsidRPr="00346988">
        <w:rPr>
          <w:rFonts w:eastAsia="標楷體"/>
        </w:rPr>
        <w:t>《性別好好教》。台北：教育部。</w:t>
      </w:r>
    </w:p>
    <w:p w:rsidR="00CD258F" w:rsidRPr="00346988" w:rsidRDefault="00CD258F" w:rsidP="00CD258F">
      <w:pPr>
        <w:spacing w:line="340" w:lineRule="exact"/>
        <w:ind w:left="480" w:hangingChars="200" w:hanging="480"/>
        <w:rPr>
          <w:rFonts w:eastAsia="標楷體"/>
        </w:rPr>
      </w:pPr>
      <w:r w:rsidRPr="00346988">
        <w:rPr>
          <w:rFonts w:eastAsia="標楷體"/>
        </w:rPr>
        <w:t>梁若瑜譯，</w:t>
      </w:r>
      <w:r w:rsidRPr="00346988">
        <w:rPr>
          <w:rFonts w:eastAsia="標楷體"/>
        </w:rPr>
        <w:t>Jean-Michel Billioud, Sophie Nanteuil</w:t>
      </w:r>
      <w:r w:rsidRPr="00346988">
        <w:rPr>
          <w:rFonts w:eastAsia="標楷體"/>
        </w:rPr>
        <w:t>原著。</w:t>
      </w:r>
      <w:r w:rsidRPr="00346988">
        <w:rPr>
          <w:rFonts w:eastAsia="標楷體"/>
        </w:rPr>
        <w:t>(2020)</w:t>
      </w:r>
      <w:r w:rsidRPr="00346988">
        <w:rPr>
          <w:rFonts w:eastAsia="標楷體"/>
        </w:rPr>
        <w:t>。《我是誰我決定：給你我的最佳性別指南》。台北：愛米粒</w:t>
      </w:r>
    </w:p>
    <w:p w:rsidR="00D5512E" w:rsidRPr="00346988" w:rsidRDefault="00D5512E" w:rsidP="00CD258F">
      <w:pPr>
        <w:spacing w:line="340" w:lineRule="exact"/>
        <w:ind w:left="480" w:hangingChars="200" w:hanging="480"/>
        <w:rPr>
          <w:rFonts w:eastAsia="標楷體"/>
        </w:rPr>
      </w:pPr>
      <w:r w:rsidRPr="00346988">
        <w:rPr>
          <w:rFonts w:eastAsia="標楷體"/>
        </w:rPr>
        <w:t>蕭昭君、王儷靜、洪菊吟主編，</w:t>
      </w:r>
      <w:r w:rsidR="00CD258F" w:rsidRPr="00346988">
        <w:rPr>
          <w:rFonts w:eastAsia="標楷體"/>
        </w:rPr>
        <w:t>(</w:t>
      </w:r>
      <w:r w:rsidRPr="00346988">
        <w:rPr>
          <w:rFonts w:eastAsia="標楷體"/>
        </w:rPr>
        <w:t>2012</w:t>
      </w:r>
      <w:r w:rsidR="00CD258F" w:rsidRPr="00346988">
        <w:rPr>
          <w:rFonts w:eastAsia="標楷體"/>
        </w:rPr>
        <w:t>)</w:t>
      </w:r>
      <w:r w:rsidR="00CD258F" w:rsidRPr="00346988">
        <w:rPr>
          <w:rFonts w:eastAsia="標楷體"/>
        </w:rPr>
        <w:t>。</w:t>
      </w:r>
      <w:r w:rsidRPr="00346988">
        <w:rPr>
          <w:rFonts w:eastAsia="標楷體"/>
        </w:rPr>
        <w:t>《我們可以這樣教性別》。台北：教育部。</w:t>
      </w:r>
    </w:p>
    <w:p w:rsidR="00D5512E" w:rsidRPr="00346988" w:rsidRDefault="00D5512E" w:rsidP="00D5512E">
      <w:pPr>
        <w:spacing w:line="340" w:lineRule="exact"/>
        <w:ind w:left="480" w:hangingChars="200" w:hanging="480"/>
        <w:rPr>
          <w:rFonts w:eastAsia="標楷體"/>
        </w:rPr>
      </w:pPr>
      <w:r w:rsidRPr="00346988">
        <w:rPr>
          <w:rFonts w:eastAsia="標楷體"/>
        </w:rPr>
        <w:t xml:space="preserve">Baker, J. M. (2006). </w:t>
      </w:r>
      <w:r w:rsidRPr="00346988">
        <w:rPr>
          <w:rFonts w:eastAsia="標楷體"/>
          <w:i/>
        </w:rPr>
        <w:t>How homophobia hurts children: Nurturing diversity at home, at school, and in the community</w:t>
      </w:r>
      <w:r w:rsidRPr="00346988">
        <w:rPr>
          <w:rFonts w:eastAsia="標楷體"/>
        </w:rPr>
        <w:t>. NY: The Haworth Press.</w:t>
      </w:r>
    </w:p>
    <w:p w:rsidR="00D5512E" w:rsidRPr="00346988" w:rsidRDefault="00D5512E" w:rsidP="00D5512E">
      <w:pPr>
        <w:spacing w:line="340" w:lineRule="exact"/>
        <w:ind w:left="480" w:hangingChars="200" w:hanging="480"/>
        <w:rPr>
          <w:rFonts w:eastAsia="標楷體"/>
        </w:rPr>
      </w:pPr>
      <w:r w:rsidRPr="00346988">
        <w:rPr>
          <w:rFonts w:eastAsia="標楷體"/>
        </w:rPr>
        <w:t xml:space="preserve">British Columbia Ministry of education (2000). </w:t>
      </w:r>
      <w:r w:rsidRPr="00346988">
        <w:rPr>
          <w:rFonts w:eastAsia="標楷體"/>
          <w:i/>
        </w:rPr>
        <w:t>Helping our kids live violence free: A parent's guide for children in Grades K to 7.</w:t>
      </w:r>
      <w:r w:rsidRPr="00346988">
        <w:rPr>
          <w:rFonts w:eastAsia="標楷體"/>
        </w:rPr>
        <w:t xml:space="preserve"> British Columbia: British Columbia, Ministry of education.</w:t>
      </w:r>
    </w:p>
    <w:p w:rsidR="00D5512E" w:rsidRPr="00346988" w:rsidRDefault="00D5512E" w:rsidP="00D5512E">
      <w:pPr>
        <w:spacing w:line="340" w:lineRule="exact"/>
        <w:ind w:left="480" w:hangingChars="200" w:hanging="480"/>
        <w:rPr>
          <w:rFonts w:eastAsia="標楷體"/>
        </w:rPr>
      </w:pPr>
      <w:r w:rsidRPr="00346988">
        <w:rPr>
          <w:rFonts w:eastAsia="標楷體"/>
        </w:rPr>
        <w:t>Lee, C.</w:t>
      </w:r>
      <w:r w:rsidR="000049C2" w:rsidRPr="00346988">
        <w:rPr>
          <w:rFonts w:eastAsia="標楷體"/>
        </w:rPr>
        <w:t xml:space="preserve"> </w:t>
      </w:r>
      <w:r w:rsidRPr="00346988">
        <w:rPr>
          <w:rFonts w:eastAsia="標楷體"/>
        </w:rPr>
        <w:t xml:space="preserve">(2004). </w:t>
      </w:r>
      <w:r w:rsidRPr="00346988">
        <w:rPr>
          <w:rFonts w:eastAsia="標楷體"/>
          <w:i/>
        </w:rPr>
        <w:t>Preventing bullying in schools: A guide for teacher and other professionals</w:t>
      </w:r>
      <w:r w:rsidRPr="00346988">
        <w:rPr>
          <w:rFonts w:eastAsia="標楷體"/>
        </w:rPr>
        <w:t>. London: Paul Chapman Publishing.</w:t>
      </w:r>
    </w:p>
    <w:p w:rsidR="004638F3" w:rsidRPr="00346988" w:rsidRDefault="004638F3" w:rsidP="004638F3">
      <w:pPr>
        <w:spacing w:line="340" w:lineRule="exact"/>
        <w:ind w:left="480" w:hangingChars="200" w:hanging="480"/>
        <w:rPr>
          <w:rFonts w:eastAsia="標楷體"/>
        </w:rPr>
      </w:pPr>
      <w:r w:rsidRPr="00346988">
        <w:rPr>
          <w:rFonts w:eastAsia="標楷體"/>
        </w:rPr>
        <w:t>No Outsiders Project Team (2010).</w:t>
      </w:r>
      <w:r w:rsidRPr="00346988">
        <w:rPr>
          <w:rFonts w:eastAsia="標楷體"/>
          <w:i/>
        </w:rPr>
        <w:t xml:space="preserve"> Undoing homophobia in primary schools</w:t>
      </w:r>
      <w:r w:rsidRPr="00346988">
        <w:rPr>
          <w:rFonts w:eastAsia="標楷體"/>
        </w:rPr>
        <w:t>. USA: Trentham Books.</w:t>
      </w:r>
    </w:p>
    <w:p w:rsidR="00D5512E" w:rsidRPr="00346988" w:rsidRDefault="00D5512E" w:rsidP="00D5512E">
      <w:pPr>
        <w:spacing w:line="340" w:lineRule="exact"/>
        <w:ind w:left="480" w:hangingChars="200" w:hanging="480"/>
        <w:rPr>
          <w:rFonts w:eastAsia="標楷體"/>
        </w:rPr>
      </w:pPr>
      <w:r w:rsidRPr="00346988">
        <w:rPr>
          <w:rFonts w:eastAsia="標楷體"/>
        </w:rPr>
        <w:t>Sears, J. T.</w:t>
      </w:r>
      <w:r w:rsidR="000049C2" w:rsidRPr="00346988">
        <w:rPr>
          <w:rFonts w:eastAsia="標楷體"/>
        </w:rPr>
        <w:t xml:space="preserve"> </w:t>
      </w:r>
      <w:r w:rsidRPr="00346988">
        <w:rPr>
          <w:rFonts w:eastAsia="標楷體"/>
        </w:rPr>
        <w:t xml:space="preserve">(2004). </w:t>
      </w:r>
      <w:r w:rsidRPr="00346988">
        <w:rPr>
          <w:rFonts w:eastAsia="標楷體"/>
          <w:i/>
        </w:rPr>
        <w:t>Gay, lesbian, and transgender issues in education: Programs, policies, and practices</w:t>
      </w:r>
      <w:r w:rsidRPr="00346988">
        <w:rPr>
          <w:rFonts w:eastAsia="標楷體"/>
        </w:rPr>
        <w:t>. NY: The Haworth Press.</w:t>
      </w:r>
    </w:p>
    <w:p w:rsidR="00C8042B" w:rsidRDefault="00C87F9C" w:rsidP="00C8042B">
      <w:pPr>
        <w:spacing w:line="340" w:lineRule="exact"/>
        <w:rPr>
          <w:rFonts w:eastAsia="標楷體"/>
        </w:rPr>
      </w:pPr>
      <w:r>
        <w:rPr>
          <w:rFonts w:eastAsia="標楷體" w:hint="eastAsia"/>
        </w:rPr>
        <w:t>西斯的</w:t>
      </w:r>
      <w:r>
        <w:rPr>
          <w:rFonts w:eastAsia="標楷體" w:hint="eastAsia"/>
        </w:rPr>
        <w:t>101</w:t>
      </w:r>
      <w:r>
        <w:rPr>
          <w:rFonts w:eastAsia="標楷體" w:hint="eastAsia"/>
        </w:rPr>
        <w:t>號房間</w:t>
      </w:r>
    </w:p>
    <w:p w:rsidR="00C87F9C" w:rsidRPr="00346988" w:rsidRDefault="00C87F9C" w:rsidP="00C8042B">
      <w:pPr>
        <w:spacing w:line="340" w:lineRule="exact"/>
        <w:rPr>
          <w:rFonts w:eastAsia="標楷體"/>
        </w:rPr>
      </w:pPr>
      <w:r>
        <w:rPr>
          <w:rFonts w:eastAsia="標楷體" w:hint="eastAsia"/>
        </w:rPr>
        <w:t>辦家家遊</w:t>
      </w:r>
    </w:p>
    <w:p w:rsidR="00C8042B" w:rsidRPr="00346988" w:rsidRDefault="00C8042B" w:rsidP="00C8042B">
      <w:pPr>
        <w:spacing w:line="340" w:lineRule="exact"/>
        <w:rPr>
          <w:rFonts w:eastAsia="標楷體"/>
        </w:rPr>
      </w:pPr>
    </w:p>
    <w:sectPr w:rsidR="00C8042B" w:rsidRPr="0034698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71" w:rsidRDefault="00CE0771" w:rsidP="00B34C74">
      <w:r>
        <w:separator/>
      </w:r>
    </w:p>
  </w:endnote>
  <w:endnote w:type="continuationSeparator" w:id="0">
    <w:p w:rsidR="00CE0771" w:rsidRDefault="00CE0771" w:rsidP="00B3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964121"/>
      <w:docPartObj>
        <w:docPartGallery w:val="Page Numbers (Bottom of Page)"/>
        <w:docPartUnique/>
      </w:docPartObj>
    </w:sdtPr>
    <w:sdtEndPr/>
    <w:sdtContent>
      <w:p w:rsidR="00B34C74" w:rsidRDefault="00B34C74">
        <w:pPr>
          <w:pStyle w:val="a7"/>
          <w:jc w:val="center"/>
        </w:pPr>
        <w:r>
          <w:fldChar w:fldCharType="begin"/>
        </w:r>
        <w:r>
          <w:instrText>PAGE   \* MERGEFORMAT</w:instrText>
        </w:r>
        <w:r>
          <w:fldChar w:fldCharType="separate"/>
        </w:r>
        <w:r w:rsidR="008D2893" w:rsidRPr="008D2893">
          <w:rPr>
            <w:noProof/>
            <w:lang w:val="zh-TW"/>
          </w:rPr>
          <w:t>1</w:t>
        </w:r>
        <w:r>
          <w:fldChar w:fldCharType="end"/>
        </w:r>
      </w:p>
    </w:sdtContent>
  </w:sdt>
  <w:p w:rsidR="00B34C74" w:rsidRDefault="00B34C7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71" w:rsidRDefault="00CE0771" w:rsidP="00B34C74">
      <w:r>
        <w:separator/>
      </w:r>
    </w:p>
  </w:footnote>
  <w:footnote w:type="continuationSeparator" w:id="0">
    <w:p w:rsidR="00CE0771" w:rsidRDefault="00CE0771" w:rsidP="00B34C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9F0"/>
    <w:multiLevelType w:val="hybridMultilevel"/>
    <w:tmpl w:val="7FBE40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452621"/>
    <w:multiLevelType w:val="hybridMultilevel"/>
    <w:tmpl w:val="06B217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8A2465"/>
    <w:multiLevelType w:val="hybridMultilevel"/>
    <w:tmpl w:val="0DB2E2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70D74EF"/>
    <w:multiLevelType w:val="hybridMultilevel"/>
    <w:tmpl w:val="833E75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B226DE"/>
    <w:multiLevelType w:val="hybridMultilevel"/>
    <w:tmpl w:val="82A0D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C310BC"/>
    <w:multiLevelType w:val="hybridMultilevel"/>
    <w:tmpl w:val="394455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5A51CE"/>
    <w:multiLevelType w:val="hybridMultilevel"/>
    <w:tmpl w:val="30E66D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3E0D1B"/>
    <w:multiLevelType w:val="hybridMultilevel"/>
    <w:tmpl w:val="05726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6932CD"/>
    <w:multiLevelType w:val="hybridMultilevel"/>
    <w:tmpl w:val="4E14D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A60DE1"/>
    <w:multiLevelType w:val="hybridMultilevel"/>
    <w:tmpl w:val="31563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7DB126E"/>
    <w:multiLevelType w:val="hybridMultilevel"/>
    <w:tmpl w:val="E5B630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A365BB8"/>
    <w:multiLevelType w:val="hybridMultilevel"/>
    <w:tmpl w:val="DD6629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B026CB6"/>
    <w:multiLevelType w:val="hybridMultilevel"/>
    <w:tmpl w:val="E66430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C275FB8"/>
    <w:multiLevelType w:val="hybridMultilevel"/>
    <w:tmpl w:val="B858B1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C48621E"/>
    <w:multiLevelType w:val="hybridMultilevel"/>
    <w:tmpl w:val="A5C635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C861975"/>
    <w:multiLevelType w:val="hybridMultilevel"/>
    <w:tmpl w:val="C83075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CC2210B"/>
    <w:multiLevelType w:val="hybridMultilevel"/>
    <w:tmpl w:val="53E6240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03E5C1F"/>
    <w:multiLevelType w:val="hybridMultilevel"/>
    <w:tmpl w:val="C0121D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A3E65B6"/>
    <w:multiLevelType w:val="hybridMultilevel"/>
    <w:tmpl w:val="6B0C1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D3C3321"/>
    <w:multiLevelType w:val="hybridMultilevel"/>
    <w:tmpl w:val="12860F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EBB29FC"/>
    <w:multiLevelType w:val="hybridMultilevel"/>
    <w:tmpl w:val="EDBCF0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1573DEA"/>
    <w:multiLevelType w:val="hybridMultilevel"/>
    <w:tmpl w:val="FBA46B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8E4DBF"/>
    <w:multiLevelType w:val="hybridMultilevel"/>
    <w:tmpl w:val="BCFEE0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DD4018"/>
    <w:multiLevelType w:val="hybridMultilevel"/>
    <w:tmpl w:val="482C1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7BD476F"/>
    <w:multiLevelType w:val="hybridMultilevel"/>
    <w:tmpl w:val="49F6DA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B0A55E1"/>
    <w:multiLevelType w:val="hybridMultilevel"/>
    <w:tmpl w:val="E580ED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B617104"/>
    <w:multiLevelType w:val="hybridMultilevel"/>
    <w:tmpl w:val="26F87E8A"/>
    <w:lvl w:ilvl="0" w:tplc="1F8ED96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463A00"/>
    <w:multiLevelType w:val="hybridMultilevel"/>
    <w:tmpl w:val="C16CEF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5C6DFB"/>
    <w:multiLevelType w:val="hybridMultilevel"/>
    <w:tmpl w:val="67F819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FFA32BA"/>
    <w:multiLevelType w:val="hybridMultilevel"/>
    <w:tmpl w:val="9B407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AF616C"/>
    <w:multiLevelType w:val="hybridMultilevel"/>
    <w:tmpl w:val="7D3AAC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3CC5A53"/>
    <w:multiLevelType w:val="hybridMultilevel"/>
    <w:tmpl w:val="D65C45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80F5805"/>
    <w:multiLevelType w:val="hybridMultilevel"/>
    <w:tmpl w:val="038A2C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87A67EE"/>
    <w:multiLevelType w:val="hybridMultilevel"/>
    <w:tmpl w:val="AB78B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A993A16"/>
    <w:multiLevelType w:val="hybridMultilevel"/>
    <w:tmpl w:val="E47285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B636A48"/>
    <w:multiLevelType w:val="hybridMultilevel"/>
    <w:tmpl w:val="058C2E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2C4246"/>
    <w:multiLevelType w:val="hybridMultilevel"/>
    <w:tmpl w:val="42A08A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EDC0BC8"/>
    <w:multiLevelType w:val="hybridMultilevel"/>
    <w:tmpl w:val="48821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6"/>
  </w:num>
  <w:num w:numId="2">
    <w:abstractNumId w:val="34"/>
  </w:num>
  <w:num w:numId="3">
    <w:abstractNumId w:val="24"/>
  </w:num>
  <w:num w:numId="4">
    <w:abstractNumId w:val="9"/>
  </w:num>
  <w:num w:numId="5">
    <w:abstractNumId w:val="36"/>
  </w:num>
  <w:num w:numId="6">
    <w:abstractNumId w:val="19"/>
  </w:num>
  <w:num w:numId="7">
    <w:abstractNumId w:val="6"/>
  </w:num>
  <w:num w:numId="8">
    <w:abstractNumId w:val="25"/>
  </w:num>
  <w:num w:numId="9">
    <w:abstractNumId w:val="10"/>
  </w:num>
  <w:num w:numId="10">
    <w:abstractNumId w:val="35"/>
  </w:num>
  <w:num w:numId="11">
    <w:abstractNumId w:val="0"/>
  </w:num>
  <w:num w:numId="12">
    <w:abstractNumId w:val="1"/>
  </w:num>
  <w:num w:numId="13">
    <w:abstractNumId w:val="2"/>
  </w:num>
  <w:num w:numId="14">
    <w:abstractNumId w:val="12"/>
  </w:num>
  <w:num w:numId="15">
    <w:abstractNumId w:val="22"/>
  </w:num>
  <w:num w:numId="16">
    <w:abstractNumId w:val="7"/>
  </w:num>
  <w:num w:numId="17">
    <w:abstractNumId w:val="28"/>
  </w:num>
  <w:num w:numId="18">
    <w:abstractNumId w:val="13"/>
  </w:num>
  <w:num w:numId="19">
    <w:abstractNumId w:val="17"/>
  </w:num>
  <w:num w:numId="20">
    <w:abstractNumId w:val="11"/>
  </w:num>
  <w:num w:numId="21">
    <w:abstractNumId w:val="33"/>
  </w:num>
  <w:num w:numId="22">
    <w:abstractNumId w:val="29"/>
  </w:num>
  <w:num w:numId="23">
    <w:abstractNumId w:val="16"/>
  </w:num>
  <w:num w:numId="24">
    <w:abstractNumId w:val="18"/>
  </w:num>
  <w:num w:numId="25">
    <w:abstractNumId w:val="30"/>
  </w:num>
  <w:num w:numId="26">
    <w:abstractNumId w:val="31"/>
  </w:num>
  <w:num w:numId="27">
    <w:abstractNumId w:val="3"/>
  </w:num>
  <w:num w:numId="28">
    <w:abstractNumId w:val="27"/>
  </w:num>
  <w:num w:numId="29">
    <w:abstractNumId w:val="32"/>
  </w:num>
  <w:num w:numId="30">
    <w:abstractNumId w:val="4"/>
  </w:num>
  <w:num w:numId="31">
    <w:abstractNumId w:val="37"/>
  </w:num>
  <w:num w:numId="32">
    <w:abstractNumId w:val="15"/>
  </w:num>
  <w:num w:numId="33">
    <w:abstractNumId w:val="14"/>
  </w:num>
  <w:num w:numId="34">
    <w:abstractNumId w:val="8"/>
  </w:num>
  <w:num w:numId="35">
    <w:abstractNumId w:val="23"/>
  </w:num>
  <w:num w:numId="36">
    <w:abstractNumId w:val="5"/>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2E"/>
    <w:rsid w:val="000049C2"/>
    <w:rsid w:val="00010B46"/>
    <w:rsid w:val="00030C54"/>
    <w:rsid w:val="00040376"/>
    <w:rsid w:val="00040483"/>
    <w:rsid w:val="000546D5"/>
    <w:rsid w:val="00062D85"/>
    <w:rsid w:val="000741A8"/>
    <w:rsid w:val="000815FB"/>
    <w:rsid w:val="0009212A"/>
    <w:rsid w:val="00145758"/>
    <w:rsid w:val="00152D31"/>
    <w:rsid w:val="00164A0F"/>
    <w:rsid w:val="00177750"/>
    <w:rsid w:val="001A3F5C"/>
    <w:rsid w:val="002421FB"/>
    <w:rsid w:val="00283E5E"/>
    <w:rsid w:val="002F46AB"/>
    <w:rsid w:val="00341620"/>
    <w:rsid w:val="00346988"/>
    <w:rsid w:val="00353CC0"/>
    <w:rsid w:val="00361A32"/>
    <w:rsid w:val="003A52E7"/>
    <w:rsid w:val="00453B0E"/>
    <w:rsid w:val="004638F3"/>
    <w:rsid w:val="004C2F48"/>
    <w:rsid w:val="00510964"/>
    <w:rsid w:val="00515155"/>
    <w:rsid w:val="00534AB7"/>
    <w:rsid w:val="0054480B"/>
    <w:rsid w:val="005500C1"/>
    <w:rsid w:val="005A7CED"/>
    <w:rsid w:val="005B4EFB"/>
    <w:rsid w:val="005C141E"/>
    <w:rsid w:val="00613DB0"/>
    <w:rsid w:val="00630F56"/>
    <w:rsid w:val="00644BD5"/>
    <w:rsid w:val="006A5C26"/>
    <w:rsid w:val="006B216C"/>
    <w:rsid w:val="006E7531"/>
    <w:rsid w:val="006E7794"/>
    <w:rsid w:val="00720F06"/>
    <w:rsid w:val="00735E55"/>
    <w:rsid w:val="00745CAE"/>
    <w:rsid w:val="00755C21"/>
    <w:rsid w:val="00761D2E"/>
    <w:rsid w:val="007844CD"/>
    <w:rsid w:val="00796F18"/>
    <w:rsid w:val="007E371D"/>
    <w:rsid w:val="008123D7"/>
    <w:rsid w:val="00836A02"/>
    <w:rsid w:val="00845AC8"/>
    <w:rsid w:val="00864262"/>
    <w:rsid w:val="008665E2"/>
    <w:rsid w:val="008D2893"/>
    <w:rsid w:val="008D2934"/>
    <w:rsid w:val="009119E4"/>
    <w:rsid w:val="00937363"/>
    <w:rsid w:val="0094779D"/>
    <w:rsid w:val="00952482"/>
    <w:rsid w:val="00965A8B"/>
    <w:rsid w:val="009C1244"/>
    <w:rsid w:val="009F6770"/>
    <w:rsid w:val="00A00F33"/>
    <w:rsid w:val="00A13D89"/>
    <w:rsid w:val="00A15EB6"/>
    <w:rsid w:val="00A16AA9"/>
    <w:rsid w:val="00A238BE"/>
    <w:rsid w:val="00A256C0"/>
    <w:rsid w:val="00A4528A"/>
    <w:rsid w:val="00A5673D"/>
    <w:rsid w:val="00A656FF"/>
    <w:rsid w:val="00A82B7A"/>
    <w:rsid w:val="00A97F3B"/>
    <w:rsid w:val="00AB2B88"/>
    <w:rsid w:val="00AB6EF6"/>
    <w:rsid w:val="00AC5E04"/>
    <w:rsid w:val="00AE4D7A"/>
    <w:rsid w:val="00B03701"/>
    <w:rsid w:val="00B11EFD"/>
    <w:rsid w:val="00B34C74"/>
    <w:rsid w:val="00B36B4B"/>
    <w:rsid w:val="00B62774"/>
    <w:rsid w:val="00B855F4"/>
    <w:rsid w:val="00BC2E96"/>
    <w:rsid w:val="00C04F02"/>
    <w:rsid w:val="00C106F9"/>
    <w:rsid w:val="00C11293"/>
    <w:rsid w:val="00C33B92"/>
    <w:rsid w:val="00C3685D"/>
    <w:rsid w:val="00C36D9E"/>
    <w:rsid w:val="00C37491"/>
    <w:rsid w:val="00C8042B"/>
    <w:rsid w:val="00C81340"/>
    <w:rsid w:val="00C87F9C"/>
    <w:rsid w:val="00CB7D9A"/>
    <w:rsid w:val="00CC5D2D"/>
    <w:rsid w:val="00CD258F"/>
    <w:rsid w:val="00CE0771"/>
    <w:rsid w:val="00D11995"/>
    <w:rsid w:val="00D25902"/>
    <w:rsid w:val="00D5512E"/>
    <w:rsid w:val="00D56FA6"/>
    <w:rsid w:val="00D622C6"/>
    <w:rsid w:val="00D631B5"/>
    <w:rsid w:val="00D672B6"/>
    <w:rsid w:val="00D72B9B"/>
    <w:rsid w:val="00DC452F"/>
    <w:rsid w:val="00DD04E9"/>
    <w:rsid w:val="00DE4D33"/>
    <w:rsid w:val="00DF4AC2"/>
    <w:rsid w:val="00E05379"/>
    <w:rsid w:val="00E54701"/>
    <w:rsid w:val="00E57644"/>
    <w:rsid w:val="00E7530C"/>
    <w:rsid w:val="00E75E72"/>
    <w:rsid w:val="00EC03A4"/>
    <w:rsid w:val="00EC3AAF"/>
    <w:rsid w:val="00EF275C"/>
    <w:rsid w:val="00F00D17"/>
    <w:rsid w:val="00F0188F"/>
    <w:rsid w:val="00F0293C"/>
    <w:rsid w:val="00F20453"/>
    <w:rsid w:val="00F2347E"/>
    <w:rsid w:val="00F320EE"/>
    <w:rsid w:val="00FC13D1"/>
    <w:rsid w:val="00FD2DE3"/>
    <w:rsid w:val="00FE0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43E417-D73F-414E-A4AF-85AF94F1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12E"/>
    <w:pPr>
      <w:ind w:leftChars="200" w:left="480"/>
    </w:pPr>
  </w:style>
  <w:style w:type="character" w:styleId="a4">
    <w:name w:val="Hyperlink"/>
    <w:basedOn w:val="a0"/>
    <w:uiPriority w:val="99"/>
    <w:unhideWhenUsed/>
    <w:rsid w:val="00D5512E"/>
    <w:rPr>
      <w:color w:val="0563C1" w:themeColor="hyperlink"/>
      <w:u w:val="single"/>
    </w:rPr>
  </w:style>
  <w:style w:type="paragraph" w:styleId="a5">
    <w:name w:val="header"/>
    <w:basedOn w:val="a"/>
    <w:link w:val="a6"/>
    <w:uiPriority w:val="99"/>
    <w:unhideWhenUsed/>
    <w:rsid w:val="00B34C74"/>
    <w:pPr>
      <w:tabs>
        <w:tab w:val="center" w:pos="4153"/>
        <w:tab w:val="right" w:pos="8306"/>
      </w:tabs>
      <w:snapToGrid w:val="0"/>
    </w:pPr>
    <w:rPr>
      <w:sz w:val="20"/>
      <w:szCs w:val="20"/>
    </w:rPr>
  </w:style>
  <w:style w:type="character" w:customStyle="1" w:styleId="a6">
    <w:name w:val="頁首 字元"/>
    <w:basedOn w:val="a0"/>
    <w:link w:val="a5"/>
    <w:uiPriority w:val="99"/>
    <w:rsid w:val="00B34C74"/>
    <w:rPr>
      <w:rFonts w:ascii="Times New Roman" w:eastAsia="新細明體" w:hAnsi="Times New Roman" w:cs="Times New Roman"/>
      <w:sz w:val="20"/>
      <w:szCs w:val="20"/>
    </w:rPr>
  </w:style>
  <w:style w:type="paragraph" w:styleId="a7">
    <w:name w:val="footer"/>
    <w:basedOn w:val="a"/>
    <w:link w:val="a8"/>
    <w:uiPriority w:val="99"/>
    <w:unhideWhenUsed/>
    <w:rsid w:val="00B34C74"/>
    <w:pPr>
      <w:tabs>
        <w:tab w:val="center" w:pos="4153"/>
        <w:tab w:val="right" w:pos="8306"/>
      </w:tabs>
      <w:snapToGrid w:val="0"/>
    </w:pPr>
    <w:rPr>
      <w:sz w:val="20"/>
      <w:szCs w:val="20"/>
    </w:rPr>
  </w:style>
  <w:style w:type="character" w:customStyle="1" w:styleId="a8">
    <w:name w:val="頁尾 字元"/>
    <w:basedOn w:val="a0"/>
    <w:link w:val="a7"/>
    <w:uiPriority w:val="99"/>
    <w:rsid w:val="00B34C74"/>
    <w:rPr>
      <w:rFonts w:ascii="Times New Roman" w:eastAsia="新細明體" w:hAnsi="Times New Roman" w:cs="Times New Roman"/>
      <w:sz w:val="20"/>
      <w:szCs w:val="20"/>
    </w:rPr>
  </w:style>
  <w:style w:type="paragraph" w:styleId="a9">
    <w:name w:val="Balloon Text"/>
    <w:basedOn w:val="a"/>
    <w:link w:val="aa"/>
    <w:uiPriority w:val="99"/>
    <w:semiHidden/>
    <w:unhideWhenUsed/>
    <w:rsid w:val="006A5C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5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B2C5-CFFE-4CFD-93E4-98AFDB2C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2022-02-12T06:48:00Z</cp:lastPrinted>
  <dcterms:created xsi:type="dcterms:W3CDTF">2023-09-10T12:18:00Z</dcterms:created>
  <dcterms:modified xsi:type="dcterms:W3CDTF">2023-09-10T12:18:00Z</dcterms:modified>
</cp:coreProperties>
</file>