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7FA" w:rsidRPr="00F02641" w:rsidRDefault="000C67FA" w:rsidP="000C67FA">
      <w:pPr>
        <w:ind w:firstLineChars="100" w:firstLine="400"/>
        <w:jc w:val="center"/>
        <w:rPr>
          <w:rFonts w:eastAsia="標楷體"/>
          <w:b/>
          <w:spacing w:val="40"/>
          <w:sz w:val="32"/>
          <w:szCs w:val="32"/>
        </w:rPr>
      </w:pPr>
      <w:bookmarkStart w:id="0" w:name="_GoBack"/>
      <w:bookmarkEnd w:id="0"/>
      <w:r w:rsidRPr="00F02641">
        <w:rPr>
          <w:rFonts w:eastAsia="標楷體"/>
          <w:b/>
          <w:spacing w:val="40"/>
          <w:sz w:val="32"/>
          <w:szCs w:val="32"/>
        </w:rPr>
        <w:t xml:space="preserve">  </w:t>
      </w:r>
      <w:r w:rsidRPr="00F02641">
        <w:rPr>
          <w:rFonts w:eastAsia="標楷體"/>
          <w:b/>
          <w:spacing w:val="40"/>
          <w:sz w:val="32"/>
          <w:szCs w:val="32"/>
        </w:rPr>
        <w:t>國立高雄師範大學</w:t>
      </w:r>
      <w:r w:rsidRPr="00F02641">
        <w:rPr>
          <w:rFonts w:eastAsia="標楷體"/>
          <w:b/>
          <w:spacing w:val="40"/>
          <w:sz w:val="32"/>
          <w:szCs w:val="32"/>
        </w:rPr>
        <w:t>112</w:t>
      </w:r>
      <w:r w:rsidRPr="00F02641">
        <w:rPr>
          <w:rFonts w:eastAsia="標楷體"/>
          <w:b/>
          <w:spacing w:val="40"/>
          <w:sz w:val="32"/>
          <w:szCs w:val="32"/>
        </w:rPr>
        <w:t>學年度教學綱要</w:t>
      </w:r>
    </w:p>
    <w:p w:rsidR="000C67FA" w:rsidRPr="00F02641" w:rsidRDefault="000C67FA" w:rsidP="000C67FA">
      <w:pPr>
        <w:rPr>
          <w:rFonts w:eastAsia="標楷體"/>
          <w:u w:val="single"/>
        </w:rPr>
      </w:pPr>
      <w:r w:rsidRPr="00F02641">
        <w:rPr>
          <w:rFonts w:eastAsia="標楷體"/>
        </w:rPr>
        <w:t>科目名稱：（中文）性別社會學研究</w:t>
      </w:r>
      <w:r w:rsidRPr="00F02641">
        <w:rPr>
          <w:rFonts w:eastAsia="標楷體"/>
        </w:rPr>
        <w:t xml:space="preserve">  □</w:t>
      </w:r>
      <w:r w:rsidRPr="00F02641">
        <w:rPr>
          <w:rFonts w:eastAsia="標楷體"/>
        </w:rPr>
        <w:t>必修</w:t>
      </w:r>
      <w:r w:rsidRPr="00F02641">
        <w:rPr>
          <w:rFonts w:eastAsia="標楷體"/>
        </w:rPr>
        <w:t xml:space="preserve"> ■</w:t>
      </w:r>
      <w:r w:rsidRPr="00F02641">
        <w:rPr>
          <w:rFonts w:eastAsia="標楷體"/>
        </w:rPr>
        <w:t>選修</w:t>
      </w:r>
      <w:r w:rsidRPr="00F02641">
        <w:rPr>
          <w:rFonts w:eastAsia="標楷體"/>
        </w:rPr>
        <w:t xml:space="preserve">        </w:t>
      </w:r>
      <w:r w:rsidRPr="00F02641">
        <w:rPr>
          <w:rFonts w:eastAsia="標楷體"/>
        </w:rPr>
        <w:t>教師：</w:t>
      </w:r>
      <w:r w:rsidRPr="00F02641">
        <w:rPr>
          <w:rFonts w:eastAsia="標楷體"/>
          <w:u w:val="single"/>
        </w:rPr>
        <w:t xml:space="preserve">  </w:t>
      </w:r>
      <w:r w:rsidRPr="00F02641">
        <w:rPr>
          <w:rFonts w:eastAsia="標楷體"/>
          <w:u w:val="single"/>
        </w:rPr>
        <w:t>游美惠</w:t>
      </w:r>
      <w:r w:rsidRPr="00F02641">
        <w:rPr>
          <w:rFonts w:eastAsia="標楷體"/>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540"/>
        <w:gridCol w:w="1372"/>
      </w:tblGrid>
      <w:tr w:rsidR="000C67FA" w:rsidRPr="00F02641" w:rsidTr="00BF2D12">
        <w:tc>
          <w:tcPr>
            <w:tcW w:w="1288" w:type="dxa"/>
          </w:tcPr>
          <w:p w:rsidR="000C67FA" w:rsidRPr="00F02641" w:rsidRDefault="000C67FA" w:rsidP="00BF2D12">
            <w:pPr>
              <w:framePr w:hSpace="180" w:wrap="around" w:vAnchor="text" w:hAnchor="page" w:x="7448" w:y="181"/>
              <w:rPr>
                <w:rFonts w:eastAsia="標楷體"/>
              </w:rPr>
            </w:pPr>
            <w:r w:rsidRPr="00F02641">
              <w:rPr>
                <w:rFonts w:eastAsia="標楷體"/>
              </w:rPr>
              <w:t>任課班級</w:t>
            </w:r>
          </w:p>
        </w:tc>
        <w:tc>
          <w:tcPr>
            <w:tcW w:w="1912" w:type="dxa"/>
            <w:gridSpan w:val="2"/>
          </w:tcPr>
          <w:p w:rsidR="000C67FA" w:rsidRPr="00F02641" w:rsidRDefault="000C67FA" w:rsidP="00BF2D12">
            <w:pPr>
              <w:framePr w:hSpace="180" w:wrap="around" w:vAnchor="text" w:hAnchor="page" w:x="7448" w:y="181"/>
              <w:rPr>
                <w:rFonts w:eastAsia="標楷體"/>
              </w:rPr>
            </w:pPr>
            <w:r w:rsidRPr="00F02641">
              <w:rPr>
                <w:rFonts w:eastAsia="標楷體"/>
              </w:rPr>
              <w:t>性別教育研究所</w:t>
            </w:r>
          </w:p>
        </w:tc>
      </w:tr>
      <w:tr w:rsidR="000C67FA" w:rsidRPr="00F02641" w:rsidTr="00BF2D12">
        <w:tc>
          <w:tcPr>
            <w:tcW w:w="1288" w:type="dxa"/>
          </w:tcPr>
          <w:p w:rsidR="000C67FA" w:rsidRPr="00F02641" w:rsidRDefault="000C67FA" w:rsidP="00BF2D12">
            <w:pPr>
              <w:framePr w:hSpace="180" w:wrap="around" w:vAnchor="text" w:hAnchor="page" w:x="7448" w:y="181"/>
              <w:rPr>
                <w:rFonts w:eastAsia="標楷體"/>
              </w:rPr>
            </w:pPr>
            <w:r w:rsidRPr="00F02641">
              <w:rPr>
                <w:rFonts w:eastAsia="標楷體"/>
              </w:rPr>
              <w:t>辦公地點</w:t>
            </w:r>
          </w:p>
        </w:tc>
        <w:tc>
          <w:tcPr>
            <w:tcW w:w="1912" w:type="dxa"/>
            <w:gridSpan w:val="2"/>
          </w:tcPr>
          <w:p w:rsidR="000C67FA" w:rsidRPr="00F02641" w:rsidRDefault="000C67FA" w:rsidP="00BF2D12">
            <w:pPr>
              <w:framePr w:hSpace="180" w:wrap="around" w:vAnchor="text" w:hAnchor="page" w:x="7448" w:y="181"/>
              <w:rPr>
                <w:rFonts w:eastAsia="標楷體"/>
              </w:rPr>
            </w:pPr>
            <w:r w:rsidRPr="00F02641">
              <w:rPr>
                <w:rFonts w:eastAsia="標楷體"/>
              </w:rPr>
              <w:t>研究大樓</w:t>
            </w:r>
            <w:r w:rsidRPr="00F02641">
              <w:rPr>
                <w:rFonts w:eastAsia="標楷體"/>
              </w:rPr>
              <w:t>718</w:t>
            </w:r>
            <w:r w:rsidRPr="00F02641">
              <w:rPr>
                <w:rFonts w:eastAsia="標楷體"/>
              </w:rPr>
              <w:t>室</w:t>
            </w:r>
          </w:p>
        </w:tc>
      </w:tr>
      <w:tr w:rsidR="000C67FA" w:rsidRPr="00F02641" w:rsidTr="00BF2D12">
        <w:trPr>
          <w:cantSplit/>
          <w:trHeight w:val="428"/>
        </w:trPr>
        <w:tc>
          <w:tcPr>
            <w:tcW w:w="1288" w:type="dxa"/>
            <w:vMerge w:val="restart"/>
          </w:tcPr>
          <w:p w:rsidR="000C67FA" w:rsidRPr="00F02641" w:rsidRDefault="000C67FA" w:rsidP="00BF2D12">
            <w:pPr>
              <w:framePr w:hSpace="180" w:wrap="around" w:vAnchor="text" w:hAnchor="page" w:x="7448" w:y="181"/>
              <w:rPr>
                <w:rFonts w:eastAsia="標楷體"/>
              </w:rPr>
            </w:pPr>
          </w:p>
          <w:p w:rsidR="000C67FA" w:rsidRPr="00F02641" w:rsidRDefault="000C67FA" w:rsidP="00BF2D12">
            <w:pPr>
              <w:framePr w:hSpace="180" w:wrap="around" w:vAnchor="text" w:hAnchor="page" w:x="7448" w:y="181"/>
              <w:rPr>
                <w:rFonts w:eastAsia="標楷體"/>
              </w:rPr>
            </w:pPr>
            <w:r w:rsidRPr="00F02641">
              <w:rPr>
                <w:rFonts w:eastAsia="標楷體"/>
              </w:rPr>
              <w:t>連</w:t>
            </w:r>
            <w:proofErr w:type="gramStart"/>
            <w:r w:rsidRPr="00F02641">
              <w:rPr>
                <w:rFonts w:eastAsia="標楷體"/>
              </w:rPr>
              <w:t>繫</w:t>
            </w:r>
            <w:proofErr w:type="gramEnd"/>
            <w:r w:rsidRPr="00F02641">
              <w:rPr>
                <w:rFonts w:eastAsia="標楷體"/>
              </w:rPr>
              <w:t>電話</w:t>
            </w:r>
          </w:p>
        </w:tc>
        <w:tc>
          <w:tcPr>
            <w:tcW w:w="540" w:type="dxa"/>
            <w:vAlign w:val="center"/>
          </w:tcPr>
          <w:p w:rsidR="000C67FA" w:rsidRPr="00F02641" w:rsidRDefault="000C67FA" w:rsidP="00BF2D12">
            <w:pPr>
              <w:framePr w:hSpace="180" w:wrap="around" w:vAnchor="text" w:hAnchor="page" w:x="7448" w:y="181"/>
              <w:rPr>
                <w:rFonts w:eastAsia="標楷體"/>
              </w:rPr>
            </w:pPr>
            <w:r w:rsidRPr="00F02641">
              <w:rPr>
                <w:rFonts w:eastAsia="標楷體"/>
              </w:rPr>
              <w:t>校內</w:t>
            </w:r>
          </w:p>
        </w:tc>
        <w:tc>
          <w:tcPr>
            <w:tcW w:w="1372" w:type="dxa"/>
          </w:tcPr>
          <w:p w:rsidR="000C67FA" w:rsidRPr="00F02641" w:rsidRDefault="000C67FA" w:rsidP="00BF2D12">
            <w:pPr>
              <w:framePr w:hSpace="180" w:wrap="around" w:vAnchor="text" w:hAnchor="page" w:x="7448" w:y="181"/>
              <w:rPr>
                <w:rFonts w:eastAsia="標楷體"/>
              </w:rPr>
            </w:pPr>
            <w:r w:rsidRPr="00F02641">
              <w:rPr>
                <w:rFonts w:eastAsia="標楷體"/>
              </w:rPr>
              <w:t>2012</w:t>
            </w:r>
          </w:p>
        </w:tc>
      </w:tr>
      <w:tr w:rsidR="000C67FA" w:rsidRPr="00F02641" w:rsidTr="00BF2D12">
        <w:trPr>
          <w:cantSplit/>
          <w:trHeight w:val="429"/>
        </w:trPr>
        <w:tc>
          <w:tcPr>
            <w:tcW w:w="1288" w:type="dxa"/>
            <w:vMerge/>
          </w:tcPr>
          <w:p w:rsidR="000C67FA" w:rsidRPr="00F02641" w:rsidRDefault="000C67FA" w:rsidP="00BF2D12">
            <w:pPr>
              <w:framePr w:hSpace="180" w:wrap="around" w:vAnchor="text" w:hAnchor="page" w:x="7448" w:y="181"/>
              <w:rPr>
                <w:rFonts w:eastAsia="標楷體"/>
              </w:rPr>
            </w:pPr>
          </w:p>
        </w:tc>
        <w:tc>
          <w:tcPr>
            <w:tcW w:w="540" w:type="dxa"/>
            <w:vAlign w:val="center"/>
          </w:tcPr>
          <w:p w:rsidR="000C67FA" w:rsidRPr="00F02641" w:rsidRDefault="000C67FA" w:rsidP="00BF2D12">
            <w:pPr>
              <w:framePr w:hSpace="180" w:wrap="around" w:vAnchor="text" w:hAnchor="page" w:x="7448" w:y="181"/>
              <w:rPr>
                <w:rFonts w:eastAsia="標楷體"/>
              </w:rPr>
            </w:pPr>
            <w:r w:rsidRPr="00F02641">
              <w:rPr>
                <w:rFonts w:eastAsia="標楷體"/>
              </w:rPr>
              <w:t>校外</w:t>
            </w:r>
          </w:p>
        </w:tc>
        <w:tc>
          <w:tcPr>
            <w:tcW w:w="1372" w:type="dxa"/>
          </w:tcPr>
          <w:p w:rsidR="000C67FA" w:rsidRPr="00F02641" w:rsidRDefault="000C67FA" w:rsidP="00BF2D12">
            <w:pPr>
              <w:framePr w:hSpace="180" w:wrap="around" w:vAnchor="text" w:hAnchor="page" w:x="7448" w:y="181"/>
              <w:rPr>
                <w:rFonts w:eastAsia="標楷體"/>
              </w:rPr>
            </w:pPr>
            <w:r w:rsidRPr="00F02641">
              <w:rPr>
                <w:rFonts w:eastAsia="標楷體"/>
              </w:rPr>
              <w:t xml:space="preserve">By </w:t>
            </w:r>
          </w:p>
          <w:p w:rsidR="000C67FA" w:rsidRPr="00F02641" w:rsidRDefault="000C67FA" w:rsidP="00BF2D12">
            <w:pPr>
              <w:framePr w:hSpace="180" w:wrap="around" w:vAnchor="text" w:hAnchor="page" w:x="7448" w:y="181"/>
              <w:rPr>
                <w:rFonts w:eastAsia="標楷體"/>
              </w:rPr>
            </w:pPr>
            <w:r w:rsidRPr="00F02641">
              <w:rPr>
                <w:rFonts w:eastAsia="標楷體"/>
              </w:rPr>
              <w:t xml:space="preserve">cell phone </w:t>
            </w:r>
          </w:p>
        </w:tc>
      </w:tr>
    </w:tbl>
    <w:p w:rsidR="000C67FA" w:rsidRPr="00F02641" w:rsidRDefault="000C67FA" w:rsidP="000C67FA">
      <w:pPr>
        <w:rPr>
          <w:rFonts w:eastAsia="標楷體"/>
        </w:rPr>
      </w:pPr>
      <w:r w:rsidRPr="00F02641">
        <w:rPr>
          <w:rFonts w:eastAsia="標楷體"/>
        </w:rPr>
        <w:tab/>
      </w:r>
      <w:r w:rsidRPr="00F02641">
        <w:rPr>
          <w:rFonts w:eastAsia="標楷體"/>
        </w:rPr>
        <w:tab/>
      </w:r>
      <w:r w:rsidRPr="00F02641">
        <w:rPr>
          <w:rFonts w:eastAsia="標楷體"/>
        </w:rPr>
        <w:t>（英文）</w:t>
      </w:r>
      <w:r w:rsidRPr="00F02641">
        <w:rPr>
          <w:rFonts w:eastAsia="標楷體"/>
        </w:rPr>
        <w:t xml:space="preserve">Studies on Sociology of Gender </w:t>
      </w:r>
    </w:p>
    <w:p w:rsidR="000C67FA" w:rsidRPr="00F02641" w:rsidRDefault="000C67FA" w:rsidP="000C67FA">
      <w:pPr>
        <w:spacing w:line="360" w:lineRule="auto"/>
        <w:rPr>
          <w:rFonts w:eastAsia="標楷體"/>
        </w:rPr>
      </w:pPr>
      <w:r w:rsidRPr="00F02641">
        <w:rPr>
          <w:rFonts w:eastAsia="標楷體"/>
        </w:rPr>
        <w:t>總學分數：</w:t>
      </w:r>
      <w:r w:rsidRPr="00F02641">
        <w:rPr>
          <w:rFonts w:eastAsia="標楷體"/>
          <w:u w:val="single"/>
        </w:rPr>
        <w:t xml:space="preserve"> 3 </w:t>
      </w:r>
      <w:r w:rsidRPr="00F02641">
        <w:rPr>
          <w:rFonts w:eastAsia="標楷體"/>
        </w:rPr>
        <w:t>學分</w:t>
      </w:r>
      <w:r w:rsidRPr="00F02641">
        <w:rPr>
          <w:rFonts w:eastAsia="標楷體"/>
        </w:rPr>
        <w:t xml:space="preserve">   </w:t>
      </w:r>
      <w:r w:rsidRPr="00F02641">
        <w:rPr>
          <w:rFonts w:eastAsia="標楷體"/>
        </w:rPr>
        <w:t>每週上課時數：</w:t>
      </w:r>
      <w:r w:rsidRPr="00F02641">
        <w:rPr>
          <w:rFonts w:eastAsia="標楷體"/>
          <w:u w:val="single"/>
        </w:rPr>
        <w:t xml:space="preserve"> 3  </w:t>
      </w:r>
      <w:r w:rsidRPr="00F02641">
        <w:rPr>
          <w:rFonts w:eastAsia="標楷體"/>
        </w:rPr>
        <w:t>小時</w:t>
      </w:r>
    </w:p>
    <w:p w:rsidR="000C67FA" w:rsidRPr="00F02641" w:rsidRDefault="000C67FA" w:rsidP="000C67FA">
      <w:pPr>
        <w:rPr>
          <w:rFonts w:eastAsia="標楷體"/>
        </w:rPr>
      </w:pPr>
      <w:r w:rsidRPr="00F02641">
        <w:rPr>
          <w:rFonts w:eastAsia="標楷體"/>
        </w:rPr>
        <w:t>每週上課時間：</w:t>
      </w:r>
      <w:r w:rsidRPr="00F02641">
        <w:rPr>
          <w:rFonts w:eastAsia="標楷體"/>
        </w:rPr>
        <w:t>Thu. 09:10 -12:00</w:t>
      </w:r>
    </w:p>
    <w:p w:rsidR="000C67FA" w:rsidRPr="00F02641" w:rsidRDefault="000C67FA" w:rsidP="000C67FA">
      <w:pPr>
        <w:rPr>
          <w:rFonts w:eastAsia="標楷體"/>
        </w:rPr>
      </w:pPr>
      <w:r w:rsidRPr="00F02641">
        <w:rPr>
          <w:rFonts w:eastAsia="標楷體"/>
        </w:rPr>
        <w:t>email</w:t>
      </w:r>
      <w:r w:rsidRPr="00F02641">
        <w:rPr>
          <w:rFonts w:eastAsia="標楷體"/>
        </w:rPr>
        <w:t>：</w:t>
      </w:r>
      <w:r w:rsidRPr="00F02641">
        <w:rPr>
          <w:rFonts w:eastAsia="標楷體"/>
        </w:rPr>
        <w:t>meiyou@mail.nknu.edu.tw</w:t>
      </w:r>
    </w:p>
    <w:p w:rsidR="000C67FA" w:rsidRPr="00F02641" w:rsidRDefault="000C67FA" w:rsidP="000C67FA">
      <w:pPr>
        <w:rPr>
          <w:rFonts w:eastAsia="標楷體"/>
        </w:rPr>
      </w:pPr>
      <w:r w:rsidRPr="00F02641">
        <w:rPr>
          <w:rFonts w:eastAsia="標楷體"/>
        </w:rPr>
        <w:t>office hour</w:t>
      </w:r>
      <w:r w:rsidRPr="00F02641">
        <w:rPr>
          <w:rFonts w:eastAsia="標楷體"/>
        </w:rPr>
        <w:t>：</w:t>
      </w:r>
      <w:r w:rsidRPr="00F02641">
        <w:rPr>
          <w:rFonts w:eastAsia="標楷體"/>
        </w:rPr>
        <w:t>by appointment</w:t>
      </w:r>
    </w:p>
    <w:p w:rsidR="000C67FA" w:rsidRPr="00F02641" w:rsidRDefault="000C67FA" w:rsidP="000C67FA">
      <w:pPr>
        <w:rPr>
          <w:rFonts w:eastAsia="標楷體"/>
        </w:rPr>
      </w:pPr>
    </w:p>
    <w:p w:rsidR="000C67FA" w:rsidRPr="00F02641" w:rsidRDefault="000C67FA" w:rsidP="000C67FA">
      <w:pPr>
        <w:numPr>
          <w:ilvl w:val="0"/>
          <w:numId w:val="1"/>
        </w:numPr>
        <w:tabs>
          <w:tab w:val="left" w:pos="720"/>
        </w:tabs>
        <w:rPr>
          <w:rFonts w:eastAsia="標楷體"/>
          <w:b/>
        </w:rPr>
      </w:pPr>
      <w:r w:rsidRPr="00F02641">
        <w:rPr>
          <w:rFonts w:eastAsia="標楷體"/>
          <w:b/>
        </w:rPr>
        <w:t>教學目標：</w:t>
      </w:r>
    </w:p>
    <w:p w:rsidR="000C67FA" w:rsidRPr="00F02641" w:rsidRDefault="000C67FA" w:rsidP="000C67FA">
      <w:pPr>
        <w:ind w:firstLine="480"/>
        <w:rPr>
          <w:rFonts w:eastAsia="標楷體"/>
        </w:rPr>
      </w:pPr>
      <w:r w:rsidRPr="00F02641">
        <w:rPr>
          <w:rFonts w:eastAsia="標楷體"/>
        </w:rPr>
        <w:t>本課程將以社會學和女性主義的觀點為主來探討性別關係，對社會制度和社會現象進行性別分析，希望能藉由此課程，訓練學生敏感地察覺到社會上無所不在性別意識形態，發揮社會學的想像力能對這些性別化了（</w:t>
      </w:r>
      <w:r w:rsidRPr="00F02641">
        <w:rPr>
          <w:rFonts w:eastAsia="標楷體"/>
        </w:rPr>
        <w:t>gendered</w:t>
      </w:r>
      <w:r w:rsidRPr="00F02641">
        <w:rPr>
          <w:rFonts w:eastAsia="標楷體"/>
        </w:rPr>
        <w:t>）的社會現象之生產與再製過程作深入的解析與批判。除了基礎觀念的澄清之外，本課程將加強學生從社會結構與體系的面向切入的性別分析與探究能力，最後幾</w:t>
      </w:r>
      <w:proofErr w:type="gramStart"/>
      <w:r w:rsidRPr="00F02641">
        <w:rPr>
          <w:rFonts w:eastAsia="標楷體"/>
        </w:rPr>
        <w:t>週</w:t>
      </w:r>
      <w:proofErr w:type="gramEnd"/>
      <w:r w:rsidRPr="00F02641">
        <w:rPr>
          <w:rFonts w:eastAsia="標楷體"/>
        </w:rPr>
        <w:t>課程將聚焦在愛情與親密伴侶關係進行性別社會學之探究分析。</w:t>
      </w:r>
    </w:p>
    <w:p w:rsidR="000C67FA" w:rsidRPr="00F02641" w:rsidRDefault="000C67FA" w:rsidP="000C67FA">
      <w:pPr>
        <w:rPr>
          <w:rFonts w:eastAsia="標楷體"/>
        </w:rPr>
      </w:pPr>
    </w:p>
    <w:p w:rsidR="000C67FA" w:rsidRPr="00F02641" w:rsidRDefault="000C67FA" w:rsidP="000C67FA">
      <w:pPr>
        <w:numPr>
          <w:ilvl w:val="0"/>
          <w:numId w:val="1"/>
        </w:numPr>
        <w:rPr>
          <w:rFonts w:eastAsia="標楷體"/>
          <w:b/>
        </w:rPr>
      </w:pPr>
      <w:r w:rsidRPr="00F02641">
        <w:rPr>
          <w:rFonts w:eastAsia="標楷體"/>
          <w:b/>
          <w:kern w:val="0"/>
          <w:lang w:bidi="hi-IN"/>
        </w:rPr>
        <w:t>課程能力評量指標</w:t>
      </w:r>
      <w:r w:rsidRPr="00F02641">
        <w:rPr>
          <w:rFonts w:eastAsia="標楷體"/>
          <w:b/>
          <w:bCs/>
          <w:kern w:val="0"/>
          <w:lang w:bidi="hi-IN"/>
        </w:rPr>
        <w:t>：</w:t>
      </w:r>
    </w:p>
    <w:p w:rsidR="000C67FA" w:rsidRPr="00F02641" w:rsidRDefault="000C67FA" w:rsidP="000C67FA">
      <w:pPr>
        <w:rPr>
          <w:rFonts w:eastAsia="標楷體"/>
          <w:b/>
        </w:rPr>
      </w:pPr>
    </w:p>
    <w:tbl>
      <w:tblPr>
        <w:tblpPr w:leftFromText="180" w:rightFromText="180" w:vertAnchor="page" w:horzAnchor="margin" w:tblpY="8412"/>
        <w:tblW w:w="4869"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284"/>
        <w:gridCol w:w="1242"/>
        <w:gridCol w:w="1145"/>
        <w:gridCol w:w="1217"/>
        <w:gridCol w:w="893"/>
        <w:gridCol w:w="626"/>
        <w:gridCol w:w="836"/>
        <w:gridCol w:w="830"/>
      </w:tblGrid>
      <w:tr w:rsidR="000C67FA" w:rsidRPr="00F02641" w:rsidTr="00BF2D12">
        <w:trPr>
          <w:trHeight w:val="364"/>
          <w:tblCellSpacing w:w="0" w:type="dxa"/>
        </w:trPr>
        <w:tc>
          <w:tcPr>
            <w:tcW w:w="795"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0C67FA" w:rsidRPr="00F02641" w:rsidRDefault="000C67FA" w:rsidP="00BF2D12">
            <w:pPr>
              <w:widowControl/>
              <w:jc w:val="center"/>
              <w:rPr>
                <w:rFonts w:eastAsia="標楷體"/>
                <w:b/>
                <w:bCs/>
                <w:kern w:val="0"/>
                <w:sz w:val="18"/>
                <w:szCs w:val="18"/>
              </w:rPr>
            </w:pPr>
            <w:r w:rsidRPr="00F02641">
              <w:rPr>
                <w:rFonts w:eastAsia="標楷體"/>
                <w:b/>
                <w:bCs/>
                <w:kern w:val="0"/>
                <w:sz w:val="18"/>
                <w:szCs w:val="18"/>
              </w:rPr>
              <w:t>核心能力</w:t>
            </w:r>
          </w:p>
        </w:tc>
        <w:tc>
          <w:tcPr>
            <w:tcW w:w="2232" w:type="pct"/>
            <w:gridSpan w:val="3"/>
            <w:tcBorders>
              <w:top w:val="dotted" w:sz="6" w:space="0" w:color="CCCCCC"/>
              <w:left w:val="dotted" w:sz="6" w:space="0" w:color="CCCCCC"/>
              <w:bottom w:val="dotted" w:sz="6" w:space="0" w:color="CCCCCC"/>
              <w:right w:val="dotted" w:sz="6" w:space="0" w:color="CCCCCC"/>
            </w:tcBorders>
            <w:shd w:val="clear" w:color="auto" w:fill="CCCCFF"/>
            <w:vAlign w:val="center"/>
          </w:tcPr>
          <w:p w:rsidR="000C67FA" w:rsidRPr="00F02641" w:rsidRDefault="000C67FA" w:rsidP="00BF2D12">
            <w:pPr>
              <w:widowControl/>
              <w:jc w:val="center"/>
              <w:rPr>
                <w:rFonts w:eastAsia="標楷體"/>
                <w:b/>
                <w:bCs/>
                <w:kern w:val="0"/>
                <w:sz w:val="18"/>
                <w:szCs w:val="18"/>
              </w:rPr>
            </w:pPr>
            <w:r w:rsidRPr="00F02641">
              <w:rPr>
                <w:rFonts w:eastAsia="標楷體"/>
                <w:b/>
                <w:bCs/>
                <w:kern w:val="0"/>
                <w:sz w:val="18"/>
                <w:szCs w:val="18"/>
              </w:rPr>
              <w:t>研究生能力</w:t>
            </w:r>
          </w:p>
        </w:tc>
        <w:tc>
          <w:tcPr>
            <w:tcW w:w="1973" w:type="pct"/>
            <w:gridSpan w:val="4"/>
            <w:tcBorders>
              <w:top w:val="dotted" w:sz="6" w:space="0" w:color="CCCCCC"/>
              <w:left w:val="dotted" w:sz="6" w:space="0" w:color="CCCCCC"/>
              <w:bottom w:val="dotted" w:sz="6" w:space="0" w:color="CCCCCC"/>
              <w:right w:val="dotted" w:sz="6" w:space="0" w:color="CCCCCC"/>
            </w:tcBorders>
            <w:shd w:val="clear" w:color="auto" w:fill="CCCCFF"/>
            <w:vAlign w:val="center"/>
          </w:tcPr>
          <w:p w:rsidR="000C67FA" w:rsidRPr="00F02641" w:rsidRDefault="000C67FA" w:rsidP="00BF2D12">
            <w:pPr>
              <w:widowControl/>
              <w:jc w:val="center"/>
              <w:rPr>
                <w:rFonts w:eastAsia="標楷體"/>
                <w:b/>
                <w:bCs/>
                <w:kern w:val="0"/>
                <w:sz w:val="18"/>
                <w:szCs w:val="18"/>
              </w:rPr>
            </w:pPr>
            <w:r w:rsidRPr="00F02641">
              <w:rPr>
                <w:rFonts w:eastAsia="標楷體"/>
                <w:b/>
                <w:bCs/>
                <w:kern w:val="0"/>
                <w:sz w:val="18"/>
                <w:szCs w:val="18"/>
              </w:rPr>
              <w:t>所專門能力</w:t>
            </w:r>
          </w:p>
        </w:tc>
      </w:tr>
      <w:tr w:rsidR="000C67FA" w:rsidRPr="00F02641" w:rsidTr="00BF2D12">
        <w:trPr>
          <w:trHeight w:val="364"/>
          <w:tblCellSpacing w:w="0" w:type="dxa"/>
        </w:trPr>
        <w:tc>
          <w:tcPr>
            <w:tcW w:w="795" w:type="pct"/>
            <w:tcBorders>
              <w:top w:val="dotted" w:sz="6" w:space="0" w:color="CCCCCC"/>
              <w:left w:val="dotted" w:sz="6" w:space="0" w:color="CCCCCC"/>
              <w:bottom w:val="dotted" w:sz="6" w:space="0" w:color="CCCCCC"/>
              <w:right w:val="dotted" w:sz="6" w:space="0" w:color="CCCCCC"/>
            </w:tcBorders>
            <w:shd w:val="clear" w:color="auto" w:fill="FFCCFF"/>
            <w:vAlign w:val="center"/>
          </w:tcPr>
          <w:p w:rsidR="000C67FA" w:rsidRPr="00F02641" w:rsidRDefault="000C67FA" w:rsidP="00BF2D12">
            <w:pPr>
              <w:widowControl/>
              <w:jc w:val="center"/>
              <w:rPr>
                <w:rFonts w:eastAsia="標楷體"/>
                <w:b/>
                <w:bCs/>
                <w:kern w:val="0"/>
                <w:sz w:val="18"/>
                <w:szCs w:val="18"/>
              </w:rPr>
            </w:pPr>
            <w:r w:rsidRPr="00F02641">
              <w:rPr>
                <w:rFonts w:eastAsia="標楷體"/>
                <w:b/>
                <w:bCs/>
                <w:kern w:val="0"/>
                <w:sz w:val="18"/>
                <w:szCs w:val="18"/>
              </w:rPr>
              <w:t>系所課程</w:t>
            </w:r>
          </w:p>
        </w:tc>
        <w:tc>
          <w:tcPr>
            <w:tcW w:w="769"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0C67FA" w:rsidRPr="00F02641" w:rsidRDefault="000C67FA" w:rsidP="00BF2D12">
            <w:pPr>
              <w:widowControl/>
              <w:jc w:val="center"/>
              <w:rPr>
                <w:rFonts w:eastAsia="標楷體"/>
                <w:b/>
                <w:bCs/>
                <w:kern w:val="0"/>
                <w:sz w:val="20"/>
                <w:szCs w:val="20"/>
              </w:rPr>
            </w:pPr>
            <w:r w:rsidRPr="00F02641">
              <w:rPr>
                <w:rFonts w:eastAsia="標楷體"/>
                <w:b/>
                <w:bCs/>
                <w:kern w:val="0"/>
                <w:sz w:val="20"/>
                <w:szCs w:val="20"/>
              </w:rPr>
              <w:t>1</w:t>
            </w:r>
          </w:p>
          <w:p w:rsidR="000C67FA" w:rsidRPr="00F02641" w:rsidRDefault="000C67FA" w:rsidP="00BF2D12">
            <w:pPr>
              <w:widowControl/>
              <w:jc w:val="center"/>
              <w:rPr>
                <w:rFonts w:eastAsia="標楷體"/>
                <w:b/>
                <w:bCs/>
                <w:kern w:val="0"/>
                <w:sz w:val="20"/>
                <w:szCs w:val="20"/>
              </w:rPr>
            </w:pPr>
            <w:r w:rsidRPr="00F02641">
              <w:rPr>
                <w:rFonts w:eastAsia="標楷體"/>
                <w:b/>
                <w:bCs/>
                <w:kern w:val="0"/>
                <w:sz w:val="20"/>
                <w:szCs w:val="20"/>
              </w:rPr>
              <w:t>創新思考能力</w:t>
            </w:r>
          </w:p>
        </w:tc>
        <w:tc>
          <w:tcPr>
            <w:tcW w:w="709"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0C67FA" w:rsidRPr="00F02641" w:rsidRDefault="000C67FA" w:rsidP="00BF2D12">
            <w:pPr>
              <w:widowControl/>
              <w:jc w:val="center"/>
              <w:rPr>
                <w:rFonts w:eastAsia="標楷體"/>
                <w:b/>
                <w:bCs/>
                <w:kern w:val="0"/>
                <w:sz w:val="20"/>
                <w:szCs w:val="20"/>
              </w:rPr>
            </w:pPr>
            <w:r w:rsidRPr="00F02641">
              <w:rPr>
                <w:rFonts w:eastAsia="標楷體"/>
                <w:b/>
                <w:bCs/>
                <w:kern w:val="0"/>
                <w:sz w:val="20"/>
                <w:szCs w:val="20"/>
              </w:rPr>
              <w:t>2</w:t>
            </w:r>
          </w:p>
          <w:p w:rsidR="000C67FA" w:rsidRPr="00F02641" w:rsidRDefault="000C67FA" w:rsidP="00BF2D12">
            <w:pPr>
              <w:widowControl/>
              <w:jc w:val="center"/>
              <w:rPr>
                <w:rFonts w:eastAsia="標楷體"/>
                <w:b/>
                <w:bCs/>
                <w:kern w:val="0"/>
                <w:sz w:val="20"/>
                <w:szCs w:val="20"/>
              </w:rPr>
            </w:pPr>
            <w:r w:rsidRPr="00F02641">
              <w:rPr>
                <w:rFonts w:eastAsia="標楷體"/>
                <w:b/>
                <w:bCs/>
                <w:kern w:val="0"/>
                <w:sz w:val="20"/>
                <w:szCs w:val="20"/>
              </w:rPr>
              <w:t>國際化能力</w:t>
            </w:r>
          </w:p>
        </w:tc>
        <w:tc>
          <w:tcPr>
            <w:tcW w:w="754"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0C67FA" w:rsidRPr="00F02641" w:rsidRDefault="000C67FA" w:rsidP="00BF2D12">
            <w:pPr>
              <w:widowControl/>
              <w:jc w:val="center"/>
              <w:rPr>
                <w:rFonts w:eastAsia="標楷體"/>
                <w:b/>
                <w:bCs/>
                <w:kern w:val="0"/>
                <w:sz w:val="20"/>
                <w:szCs w:val="20"/>
              </w:rPr>
            </w:pPr>
            <w:r w:rsidRPr="00F02641">
              <w:rPr>
                <w:rFonts w:eastAsia="標楷體"/>
                <w:b/>
                <w:bCs/>
                <w:kern w:val="0"/>
                <w:sz w:val="20"/>
                <w:szCs w:val="20"/>
              </w:rPr>
              <w:t>3</w:t>
            </w:r>
          </w:p>
          <w:p w:rsidR="000C67FA" w:rsidRPr="00F02641" w:rsidRDefault="000C67FA" w:rsidP="00BF2D12">
            <w:pPr>
              <w:widowControl/>
              <w:jc w:val="center"/>
              <w:rPr>
                <w:rFonts w:eastAsia="標楷體"/>
                <w:b/>
                <w:bCs/>
                <w:kern w:val="0"/>
                <w:sz w:val="20"/>
                <w:szCs w:val="20"/>
              </w:rPr>
            </w:pPr>
            <w:r w:rsidRPr="00F02641">
              <w:rPr>
                <w:rFonts w:eastAsia="標楷體"/>
                <w:b/>
                <w:bCs/>
                <w:kern w:val="0"/>
                <w:sz w:val="20"/>
                <w:szCs w:val="20"/>
              </w:rPr>
              <w:t>終身學習能力</w:t>
            </w:r>
          </w:p>
        </w:tc>
        <w:tc>
          <w:tcPr>
            <w:tcW w:w="553"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0C67FA" w:rsidRPr="00F02641" w:rsidRDefault="000C67FA" w:rsidP="00BF2D12">
            <w:pPr>
              <w:widowControl/>
              <w:jc w:val="center"/>
              <w:rPr>
                <w:rFonts w:eastAsia="標楷體"/>
                <w:b/>
                <w:bCs/>
                <w:kern w:val="0"/>
                <w:sz w:val="20"/>
                <w:szCs w:val="20"/>
              </w:rPr>
            </w:pPr>
            <w:r w:rsidRPr="00F02641">
              <w:rPr>
                <w:rFonts w:eastAsia="標楷體"/>
                <w:b/>
                <w:bCs/>
                <w:kern w:val="0"/>
                <w:sz w:val="20"/>
                <w:szCs w:val="20"/>
              </w:rPr>
              <w:t>4</w:t>
            </w:r>
          </w:p>
          <w:p w:rsidR="000C67FA" w:rsidRPr="00F02641" w:rsidRDefault="000C67FA" w:rsidP="00BF2D12">
            <w:pPr>
              <w:widowControl/>
              <w:jc w:val="center"/>
              <w:rPr>
                <w:rFonts w:eastAsia="標楷體"/>
                <w:b/>
                <w:bCs/>
                <w:kern w:val="0"/>
                <w:sz w:val="20"/>
                <w:szCs w:val="20"/>
              </w:rPr>
            </w:pPr>
            <w:r w:rsidRPr="00F02641">
              <w:rPr>
                <w:rFonts w:eastAsia="標楷體"/>
                <w:b/>
                <w:bCs/>
                <w:kern w:val="0"/>
                <w:sz w:val="20"/>
                <w:szCs w:val="20"/>
              </w:rPr>
              <w:t>性別教育專業能力</w:t>
            </w:r>
          </w:p>
        </w:tc>
        <w:tc>
          <w:tcPr>
            <w:tcW w:w="388"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0C67FA" w:rsidRPr="00F02641" w:rsidRDefault="000C67FA" w:rsidP="00BF2D12">
            <w:pPr>
              <w:widowControl/>
              <w:jc w:val="center"/>
              <w:rPr>
                <w:rFonts w:eastAsia="標楷體"/>
                <w:b/>
                <w:bCs/>
                <w:kern w:val="0"/>
                <w:sz w:val="20"/>
                <w:szCs w:val="20"/>
              </w:rPr>
            </w:pPr>
            <w:r w:rsidRPr="00F02641">
              <w:rPr>
                <w:rFonts w:eastAsia="標楷體"/>
                <w:b/>
                <w:bCs/>
                <w:kern w:val="0"/>
                <w:sz w:val="20"/>
                <w:szCs w:val="20"/>
              </w:rPr>
              <w:t>5</w:t>
            </w:r>
          </w:p>
          <w:p w:rsidR="000C67FA" w:rsidRPr="00F02641" w:rsidRDefault="000C67FA" w:rsidP="00BF2D12">
            <w:pPr>
              <w:widowControl/>
              <w:jc w:val="center"/>
              <w:rPr>
                <w:rFonts w:eastAsia="標楷體"/>
                <w:b/>
                <w:bCs/>
                <w:kern w:val="0"/>
                <w:sz w:val="20"/>
                <w:szCs w:val="20"/>
              </w:rPr>
            </w:pPr>
            <w:r w:rsidRPr="00F02641">
              <w:rPr>
                <w:rFonts w:eastAsia="標楷體"/>
                <w:b/>
                <w:bCs/>
                <w:kern w:val="0"/>
                <w:sz w:val="20"/>
                <w:szCs w:val="20"/>
              </w:rPr>
              <w:t>性別研究能力</w:t>
            </w:r>
          </w:p>
        </w:tc>
        <w:tc>
          <w:tcPr>
            <w:tcW w:w="518"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0C67FA" w:rsidRPr="00F02641" w:rsidRDefault="000C67FA" w:rsidP="00BF2D12">
            <w:pPr>
              <w:widowControl/>
              <w:jc w:val="center"/>
              <w:rPr>
                <w:rFonts w:eastAsia="標楷體"/>
                <w:b/>
                <w:bCs/>
                <w:kern w:val="0"/>
                <w:sz w:val="20"/>
                <w:szCs w:val="20"/>
              </w:rPr>
            </w:pPr>
            <w:r w:rsidRPr="00F02641">
              <w:rPr>
                <w:rFonts w:eastAsia="標楷體"/>
                <w:b/>
                <w:bCs/>
                <w:kern w:val="0"/>
                <w:sz w:val="20"/>
                <w:szCs w:val="20"/>
              </w:rPr>
              <w:t>6</w:t>
            </w:r>
          </w:p>
          <w:p w:rsidR="000C67FA" w:rsidRPr="00F02641" w:rsidRDefault="000C67FA" w:rsidP="00BF2D12">
            <w:pPr>
              <w:widowControl/>
              <w:jc w:val="center"/>
              <w:rPr>
                <w:rFonts w:eastAsia="標楷體"/>
                <w:b/>
                <w:bCs/>
                <w:kern w:val="0"/>
                <w:sz w:val="20"/>
                <w:szCs w:val="20"/>
              </w:rPr>
            </w:pPr>
            <w:r w:rsidRPr="00F02641">
              <w:rPr>
                <w:rFonts w:eastAsia="標楷體"/>
                <w:b/>
                <w:bCs/>
                <w:kern w:val="0"/>
                <w:sz w:val="20"/>
                <w:szCs w:val="20"/>
              </w:rPr>
              <w:t>批判思考與行動能力</w:t>
            </w:r>
          </w:p>
        </w:tc>
        <w:tc>
          <w:tcPr>
            <w:tcW w:w="514"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0C67FA" w:rsidRPr="00F02641" w:rsidRDefault="000C67FA" w:rsidP="00BF2D12">
            <w:pPr>
              <w:widowControl/>
              <w:jc w:val="center"/>
              <w:rPr>
                <w:rFonts w:eastAsia="標楷體"/>
                <w:b/>
                <w:bCs/>
                <w:kern w:val="0"/>
                <w:sz w:val="20"/>
                <w:szCs w:val="20"/>
              </w:rPr>
            </w:pPr>
            <w:r w:rsidRPr="00F02641">
              <w:rPr>
                <w:rFonts w:eastAsia="標楷體"/>
                <w:b/>
                <w:bCs/>
                <w:kern w:val="0"/>
                <w:sz w:val="20"/>
                <w:szCs w:val="20"/>
              </w:rPr>
              <w:t>7</w:t>
            </w:r>
          </w:p>
          <w:p w:rsidR="000C67FA" w:rsidRPr="00F02641" w:rsidRDefault="000C67FA" w:rsidP="00BF2D12">
            <w:pPr>
              <w:widowControl/>
              <w:jc w:val="center"/>
              <w:rPr>
                <w:rFonts w:eastAsia="標楷體"/>
                <w:b/>
                <w:bCs/>
                <w:kern w:val="0"/>
                <w:sz w:val="20"/>
                <w:szCs w:val="20"/>
              </w:rPr>
            </w:pPr>
            <w:r w:rsidRPr="00F02641">
              <w:rPr>
                <w:rFonts w:eastAsia="標楷體"/>
                <w:b/>
                <w:bCs/>
                <w:kern w:val="0"/>
                <w:sz w:val="20"/>
                <w:szCs w:val="20"/>
              </w:rPr>
              <w:t>性別關懷的助人能力</w:t>
            </w:r>
          </w:p>
        </w:tc>
      </w:tr>
      <w:tr w:rsidR="000C67FA" w:rsidRPr="00F02641" w:rsidTr="00BF2D12">
        <w:trPr>
          <w:trHeight w:val="364"/>
          <w:tblCellSpacing w:w="0" w:type="dxa"/>
        </w:trPr>
        <w:tc>
          <w:tcPr>
            <w:tcW w:w="795" w:type="pct"/>
            <w:tcBorders>
              <w:top w:val="dotted" w:sz="6" w:space="0" w:color="CCCCCC"/>
              <w:left w:val="dotted" w:sz="6" w:space="0" w:color="CCCCCC"/>
              <w:bottom w:val="dotted" w:sz="6" w:space="0" w:color="CCCCCC"/>
              <w:right w:val="dotted" w:sz="6" w:space="0" w:color="CCCCCC"/>
            </w:tcBorders>
            <w:shd w:val="clear" w:color="auto" w:fill="FFCCFF"/>
            <w:vAlign w:val="center"/>
          </w:tcPr>
          <w:p w:rsidR="000C67FA" w:rsidRPr="00F02641" w:rsidRDefault="000C67FA" w:rsidP="00BF2D12">
            <w:pPr>
              <w:widowControl/>
              <w:rPr>
                <w:rFonts w:eastAsia="標楷體"/>
                <w:b/>
                <w:bCs/>
                <w:kern w:val="0"/>
                <w:sz w:val="18"/>
                <w:szCs w:val="18"/>
              </w:rPr>
            </w:pPr>
            <w:r w:rsidRPr="00F02641">
              <w:rPr>
                <w:rFonts w:eastAsia="標楷體"/>
                <w:b/>
                <w:bCs/>
                <w:kern w:val="0"/>
                <w:sz w:val="18"/>
                <w:szCs w:val="18"/>
              </w:rPr>
              <w:t>性別社會學研究</w:t>
            </w:r>
          </w:p>
        </w:tc>
        <w:tc>
          <w:tcPr>
            <w:tcW w:w="769"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0C67FA" w:rsidRPr="00F02641" w:rsidRDefault="000C67FA" w:rsidP="00BF2D12">
            <w:pPr>
              <w:widowControl/>
              <w:jc w:val="center"/>
              <w:rPr>
                <w:rFonts w:eastAsia="標楷體"/>
                <w:b/>
                <w:color w:val="0000FF"/>
                <w:kern w:val="0"/>
                <w:sz w:val="20"/>
                <w:szCs w:val="20"/>
              </w:rPr>
            </w:pPr>
            <w:r w:rsidRPr="00F02641">
              <w:rPr>
                <w:rFonts w:eastAsia="標楷體"/>
                <w:b/>
                <w:color w:val="0000FF"/>
                <w:kern w:val="0"/>
                <w:sz w:val="20"/>
                <w:szCs w:val="20"/>
              </w:rPr>
              <w:t>10%</w:t>
            </w:r>
          </w:p>
        </w:tc>
        <w:tc>
          <w:tcPr>
            <w:tcW w:w="709"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0C67FA" w:rsidRPr="00F02641" w:rsidRDefault="000C67FA" w:rsidP="00BF2D12">
            <w:pPr>
              <w:widowControl/>
              <w:jc w:val="center"/>
              <w:rPr>
                <w:rFonts w:eastAsia="標楷體"/>
                <w:b/>
                <w:color w:val="0000FF"/>
                <w:kern w:val="0"/>
                <w:sz w:val="20"/>
                <w:szCs w:val="20"/>
              </w:rPr>
            </w:pPr>
            <w:r w:rsidRPr="00F02641">
              <w:rPr>
                <w:rFonts w:eastAsia="標楷體"/>
                <w:b/>
                <w:color w:val="0000FF"/>
                <w:kern w:val="0"/>
                <w:sz w:val="20"/>
                <w:szCs w:val="20"/>
              </w:rPr>
              <w:t>10%</w:t>
            </w:r>
          </w:p>
        </w:tc>
        <w:tc>
          <w:tcPr>
            <w:tcW w:w="754"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0C67FA" w:rsidRPr="00F02641" w:rsidRDefault="000C67FA" w:rsidP="00BF2D12">
            <w:pPr>
              <w:widowControl/>
              <w:jc w:val="center"/>
              <w:rPr>
                <w:rFonts w:eastAsia="標楷體"/>
                <w:b/>
                <w:color w:val="0000FF"/>
                <w:kern w:val="0"/>
                <w:sz w:val="20"/>
                <w:szCs w:val="20"/>
              </w:rPr>
            </w:pPr>
            <w:r w:rsidRPr="00F02641">
              <w:rPr>
                <w:rFonts w:eastAsia="標楷體"/>
                <w:b/>
                <w:color w:val="0000FF"/>
                <w:kern w:val="0"/>
                <w:sz w:val="20"/>
                <w:szCs w:val="20"/>
              </w:rPr>
              <w:t>10%</w:t>
            </w:r>
          </w:p>
        </w:tc>
        <w:tc>
          <w:tcPr>
            <w:tcW w:w="553"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0C67FA" w:rsidRPr="00F02641" w:rsidRDefault="000C67FA" w:rsidP="00BF2D12">
            <w:pPr>
              <w:widowControl/>
              <w:jc w:val="center"/>
              <w:rPr>
                <w:rFonts w:eastAsia="標楷體"/>
                <w:b/>
                <w:color w:val="0000FF"/>
                <w:kern w:val="0"/>
                <w:sz w:val="20"/>
                <w:szCs w:val="20"/>
              </w:rPr>
            </w:pPr>
            <w:r w:rsidRPr="00F02641">
              <w:rPr>
                <w:rFonts w:eastAsia="標楷體"/>
                <w:b/>
                <w:color w:val="0000FF"/>
                <w:kern w:val="0"/>
                <w:sz w:val="20"/>
                <w:szCs w:val="20"/>
              </w:rPr>
              <w:t xml:space="preserve"> 10%</w:t>
            </w:r>
          </w:p>
        </w:tc>
        <w:tc>
          <w:tcPr>
            <w:tcW w:w="388"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0C67FA" w:rsidRPr="00F02641" w:rsidRDefault="000C67FA" w:rsidP="00BF2D12">
            <w:pPr>
              <w:widowControl/>
              <w:jc w:val="center"/>
              <w:rPr>
                <w:rFonts w:eastAsia="標楷體"/>
                <w:b/>
                <w:color w:val="0000FF"/>
                <w:kern w:val="0"/>
                <w:sz w:val="20"/>
                <w:szCs w:val="20"/>
              </w:rPr>
            </w:pPr>
            <w:r w:rsidRPr="00F02641">
              <w:rPr>
                <w:rFonts w:eastAsia="標楷體"/>
                <w:b/>
                <w:color w:val="0000FF"/>
                <w:kern w:val="0"/>
                <w:sz w:val="20"/>
                <w:szCs w:val="20"/>
              </w:rPr>
              <w:t>20%</w:t>
            </w:r>
          </w:p>
        </w:tc>
        <w:tc>
          <w:tcPr>
            <w:tcW w:w="518"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0C67FA" w:rsidRPr="00F02641" w:rsidRDefault="000C67FA" w:rsidP="00BF2D12">
            <w:pPr>
              <w:widowControl/>
              <w:jc w:val="center"/>
              <w:rPr>
                <w:rFonts w:eastAsia="標楷體"/>
                <w:b/>
                <w:color w:val="0000FF"/>
                <w:kern w:val="0"/>
                <w:sz w:val="20"/>
                <w:szCs w:val="20"/>
              </w:rPr>
            </w:pPr>
            <w:r w:rsidRPr="00F02641">
              <w:rPr>
                <w:rFonts w:eastAsia="標楷體"/>
                <w:b/>
                <w:color w:val="0000FF"/>
                <w:kern w:val="0"/>
                <w:sz w:val="20"/>
                <w:szCs w:val="20"/>
              </w:rPr>
              <w:t>30%</w:t>
            </w:r>
          </w:p>
        </w:tc>
        <w:tc>
          <w:tcPr>
            <w:tcW w:w="514" w:type="pct"/>
            <w:tcBorders>
              <w:top w:val="dotted" w:sz="6" w:space="0" w:color="CCCCCC"/>
              <w:left w:val="dotted" w:sz="6" w:space="0" w:color="CCCCCC"/>
              <w:bottom w:val="dotted" w:sz="6" w:space="0" w:color="CCCCCC"/>
              <w:right w:val="dotted" w:sz="6" w:space="0" w:color="CCCCCC"/>
            </w:tcBorders>
            <w:shd w:val="clear" w:color="auto" w:fill="CCCCFF"/>
            <w:vAlign w:val="center"/>
          </w:tcPr>
          <w:p w:rsidR="000C67FA" w:rsidRPr="00F02641" w:rsidRDefault="000C67FA" w:rsidP="00BF2D12">
            <w:pPr>
              <w:widowControl/>
              <w:jc w:val="center"/>
              <w:rPr>
                <w:rFonts w:eastAsia="標楷體"/>
                <w:b/>
                <w:color w:val="0000FF"/>
                <w:kern w:val="0"/>
                <w:sz w:val="20"/>
                <w:szCs w:val="20"/>
              </w:rPr>
            </w:pPr>
            <w:r w:rsidRPr="00F02641">
              <w:rPr>
                <w:rFonts w:eastAsia="標楷體"/>
                <w:b/>
                <w:color w:val="0000FF"/>
                <w:kern w:val="0"/>
                <w:sz w:val="20"/>
                <w:szCs w:val="20"/>
              </w:rPr>
              <w:t>10%</w:t>
            </w:r>
          </w:p>
        </w:tc>
      </w:tr>
    </w:tbl>
    <w:p w:rsidR="000C67FA" w:rsidRPr="00F02641" w:rsidRDefault="000C67FA" w:rsidP="000C67FA">
      <w:pPr>
        <w:tabs>
          <w:tab w:val="left" w:pos="540"/>
        </w:tabs>
        <w:rPr>
          <w:rFonts w:eastAsia="標楷體"/>
          <w:b/>
        </w:rPr>
      </w:pPr>
      <w:r w:rsidRPr="00F02641">
        <w:rPr>
          <w:rFonts w:eastAsia="標楷體"/>
          <w:b/>
        </w:rPr>
        <w:t>三、教材內容：</w:t>
      </w:r>
    </w:p>
    <w:p w:rsidR="000C67FA" w:rsidRPr="00F02641" w:rsidRDefault="000C67FA" w:rsidP="000C67FA">
      <w:pPr>
        <w:tabs>
          <w:tab w:val="left" w:pos="540"/>
        </w:tabs>
        <w:rPr>
          <w:rFonts w:eastAsia="標楷體"/>
        </w:rPr>
      </w:pPr>
      <w:r w:rsidRPr="00F02641">
        <w:rPr>
          <w:rFonts w:eastAsia="標楷體"/>
        </w:rPr>
        <w:t>（</w:t>
      </w:r>
      <w:r w:rsidRPr="00F02641">
        <w:rPr>
          <w:rFonts w:eastAsia="標楷體"/>
        </w:rPr>
        <w:t>1</w:t>
      </w:r>
      <w:r w:rsidRPr="00F02641">
        <w:rPr>
          <w:rFonts w:eastAsia="標楷體"/>
        </w:rPr>
        <w:t>）主要教材</w:t>
      </w:r>
    </w:p>
    <w:p w:rsidR="000C67FA" w:rsidRPr="00F02641" w:rsidRDefault="000C67FA" w:rsidP="000C67FA">
      <w:pPr>
        <w:numPr>
          <w:ilvl w:val="0"/>
          <w:numId w:val="3"/>
        </w:numPr>
        <w:rPr>
          <w:rFonts w:eastAsia="標楷體"/>
          <w:bCs/>
          <w:kern w:val="0"/>
        </w:rPr>
      </w:pPr>
      <w:r w:rsidRPr="00F02641">
        <w:rPr>
          <w:bCs/>
          <w:kern w:val="0"/>
        </w:rPr>
        <w:t>「</w:t>
      </w:r>
      <w:r w:rsidRPr="00F02641">
        <w:rPr>
          <w:rFonts w:eastAsia="標楷體"/>
          <w:bCs/>
          <w:kern w:val="0"/>
        </w:rPr>
        <w:t>巷仔口社會學</w:t>
      </w:r>
      <w:r w:rsidRPr="00F02641">
        <w:rPr>
          <w:bCs/>
          <w:kern w:val="0"/>
        </w:rPr>
        <w:t>」</w:t>
      </w:r>
      <w:r w:rsidRPr="00F02641">
        <w:rPr>
          <w:rFonts w:eastAsia="標楷體"/>
          <w:bCs/>
          <w:kern w:val="0"/>
        </w:rPr>
        <w:t>網頁</w:t>
      </w:r>
    </w:p>
    <w:p w:rsidR="000C67FA" w:rsidRPr="00F02641" w:rsidRDefault="000C67FA" w:rsidP="000C67FA">
      <w:pPr>
        <w:numPr>
          <w:ilvl w:val="0"/>
          <w:numId w:val="3"/>
        </w:numPr>
        <w:rPr>
          <w:rFonts w:eastAsia="標楷體"/>
        </w:rPr>
      </w:pPr>
      <w:r w:rsidRPr="00F02641">
        <w:rPr>
          <w:rFonts w:eastAsia="標楷體"/>
          <w:bCs/>
          <w:kern w:val="0"/>
        </w:rPr>
        <w:t>Allan G. Johnson</w:t>
      </w:r>
      <w:r w:rsidRPr="00F02641">
        <w:rPr>
          <w:rFonts w:eastAsia="標楷體"/>
        </w:rPr>
        <w:t>，</w:t>
      </w:r>
      <w:r w:rsidRPr="00F02641">
        <w:rPr>
          <w:rFonts w:eastAsia="標楷體"/>
          <w:bCs/>
          <w:kern w:val="0"/>
        </w:rPr>
        <w:t>成令方、林鶴玲、吳嘉苓</w:t>
      </w:r>
      <w:r w:rsidRPr="00F02641">
        <w:rPr>
          <w:rFonts w:eastAsia="標楷體"/>
        </w:rPr>
        <w:t>譯，（</w:t>
      </w:r>
      <w:r w:rsidRPr="00F02641">
        <w:rPr>
          <w:rFonts w:eastAsia="標楷體"/>
        </w:rPr>
        <w:t>2003</w:t>
      </w:r>
      <w:r w:rsidRPr="00F02641">
        <w:rPr>
          <w:rFonts w:eastAsia="標楷體"/>
        </w:rPr>
        <w:t>）。</w:t>
      </w:r>
      <w:r w:rsidRPr="00F02641">
        <w:rPr>
          <w:rFonts w:eastAsia="標楷體"/>
          <w:b/>
        </w:rPr>
        <w:t>見樹又見林：社會學作為一種生活、實踐與承諾</w:t>
      </w:r>
      <w:r w:rsidRPr="00F02641">
        <w:rPr>
          <w:rFonts w:eastAsia="標楷體"/>
        </w:rPr>
        <w:t>【二版】。台北：群學。</w:t>
      </w:r>
    </w:p>
    <w:p w:rsidR="000C67FA" w:rsidRPr="00F02641" w:rsidRDefault="000C67FA" w:rsidP="000C67FA">
      <w:pPr>
        <w:widowControl/>
        <w:numPr>
          <w:ilvl w:val="0"/>
          <w:numId w:val="3"/>
        </w:numPr>
        <w:rPr>
          <w:rFonts w:eastAsia="標楷體"/>
          <w:kern w:val="0"/>
        </w:rPr>
      </w:pPr>
      <w:r w:rsidRPr="00F02641">
        <w:rPr>
          <w:rFonts w:eastAsia="標楷體"/>
          <w:bCs/>
          <w:kern w:val="0"/>
        </w:rPr>
        <w:t>Allan G. Johnson</w:t>
      </w:r>
      <w:r w:rsidRPr="00F02641">
        <w:rPr>
          <w:rFonts w:eastAsia="標楷體"/>
        </w:rPr>
        <w:t>原著，</w:t>
      </w:r>
      <w:r w:rsidRPr="00F02641">
        <w:rPr>
          <w:rFonts w:eastAsia="標楷體"/>
          <w:bCs/>
          <w:kern w:val="0"/>
        </w:rPr>
        <w:t>成令方、王秀雲、游美惠、邱大昕、吳嘉苓</w:t>
      </w:r>
      <w:r w:rsidRPr="00F02641">
        <w:rPr>
          <w:rFonts w:eastAsia="標楷體"/>
        </w:rPr>
        <w:t>譯，（</w:t>
      </w:r>
      <w:r w:rsidRPr="00F02641">
        <w:rPr>
          <w:rFonts w:eastAsia="標楷體"/>
          <w:bCs/>
          <w:kern w:val="0"/>
        </w:rPr>
        <w:t>2008</w:t>
      </w:r>
      <w:r w:rsidRPr="00F02641">
        <w:rPr>
          <w:rFonts w:eastAsia="標楷體"/>
        </w:rPr>
        <w:t>）</w:t>
      </w:r>
      <w:r w:rsidRPr="00F02641">
        <w:rPr>
          <w:rFonts w:eastAsia="標楷體"/>
          <w:bCs/>
          <w:kern w:val="0"/>
        </w:rPr>
        <w:t>。</w:t>
      </w:r>
      <w:r w:rsidRPr="00F02641">
        <w:rPr>
          <w:rFonts w:eastAsia="標楷體"/>
          <w:b/>
          <w:bCs/>
          <w:kern w:val="0"/>
        </w:rPr>
        <w:t>性別打結：拆解父權的承傳（</w:t>
      </w:r>
      <w:r w:rsidRPr="00F02641">
        <w:rPr>
          <w:rFonts w:eastAsia="標楷體"/>
          <w:bCs/>
          <w:i/>
          <w:kern w:val="0"/>
        </w:rPr>
        <w:t>Gender knot: Unraveling our patriarchal legacy</w:t>
      </w:r>
      <w:r w:rsidRPr="00F02641">
        <w:rPr>
          <w:rFonts w:eastAsia="標楷體"/>
          <w:bCs/>
          <w:i/>
          <w:kern w:val="0"/>
        </w:rPr>
        <w:t>）</w:t>
      </w:r>
      <w:r w:rsidRPr="00F02641">
        <w:rPr>
          <w:rFonts w:eastAsia="標楷體"/>
          <w:bCs/>
          <w:kern w:val="0"/>
        </w:rPr>
        <w:t>。</w:t>
      </w:r>
      <w:r w:rsidRPr="00F02641">
        <w:rPr>
          <w:rFonts w:eastAsia="標楷體"/>
        </w:rPr>
        <w:t>台北：</w:t>
      </w:r>
      <w:r w:rsidRPr="00F02641">
        <w:rPr>
          <w:rFonts w:eastAsia="標楷體"/>
          <w:bCs/>
          <w:kern w:val="0"/>
        </w:rPr>
        <w:t>群學</w:t>
      </w:r>
      <w:r w:rsidRPr="00F02641">
        <w:rPr>
          <w:rFonts w:eastAsia="標楷體"/>
        </w:rPr>
        <w:t>。</w:t>
      </w:r>
    </w:p>
    <w:p w:rsidR="000C67FA" w:rsidRPr="00F02641" w:rsidRDefault="000C67FA" w:rsidP="000C67FA">
      <w:pPr>
        <w:numPr>
          <w:ilvl w:val="0"/>
          <w:numId w:val="3"/>
        </w:numPr>
        <w:spacing w:line="300" w:lineRule="exact"/>
        <w:rPr>
          <w:rFonts w:eastAsia="標楷體"/>
        </w:rPr>
      </w:pPr>
      <w:r w:rsidRPr="00F02641">
        <w:rPr>
          <w:rFonts w:eastAsia="標楷體"/>
        </w:rPr>
        <w:t>R. Connell</w:t>
      </w:r>
      <w:r w:rsidRPr="00F02641">
        <w:rPr>
          <w:rFonts w:eastAsia="標楷體"/>
        </w:rPr>
        <w:t>原著（</w:t>
      </w:r>
      <w:r w:rsidRPr="00F02641">
        <w:rPr>
          <w:rFonts w:eastAsia="標楷體"/>
        </w:rPr>
        <w:t>2009</w:t>
      </w:r>
      <w:r w:rsidRPr="00F02641">
        <w:rPr>
          <w:rFonts w:eastAsia="標楷體"/>
        </w:rPr>
        <w:t>），劉泗翰譯，（</w:t>
      </w:r>
      <w:r w:rsidRPr="00F02641">
        <w:rPr>
          <w:rFonts w:eastAsia="標楷體"/>
        </w:rPr>
        <w:t>2011</w:t>
      </w:r>
      <w:r w:rsidRPr="00F02641">
        <w:rPr>
          <w:rFonts w:eastAsia="標楷體"/>
        </w:rPr>
        <w:t>）。</w:t>
      </w:r>
      <w:r w:rsidRPr="00F02641">
        <w:rPr>
          <w:rFonts w:eastAsia="標楷體"/>
          <w:b/>
        </w:rPr>
        <w:t>性別的世界觀（</w:t>
      </w:r>
      <w:r w:rsidRPr="00F02641">
        <w:rPr>
          <w:rFonts w:eastAsia="標楷體"/>
          <w:bCs/>
          <w:i/>
          <w:kern w:val="0"/>
        </w:rPr>
        <w:t xml:space="preserve">Gender in world </w:t>
      </w:r>
      <w:proofErr w:type="spellStart"/>
      <w:r w:rsidRPr="00F02641">
        <w:rPr>
          <w:rFonts w:eastAsia="標楷體"/>
          <w:bCs/>
          <w:i/>
          <w:kern w:val="0"/>
        </w:rPr>
        <w:t>perspecvtive</w:t>
      </w:r>
      <w:proofErr w:type="spellEnd"/>
      <w:r w:rsidRPr="00F02641">
        <w:rPr>
          <w:rFonts w:eastAsia="標楷體"/>
          <w:bCs/>
          <w:i/>
          <w:kern w:val="0"/>
        </w:rPr>
        <w:t>）</w:t>
      </w:r>
      <w:r w:rsidRPr="00F02641">
        <w:rPr>
          <w:rFonts w:eastAsia="標楷體"/>
          <w:bCs/>
          <w:kern w:val="0"/>
        </w:rPr>
        <w:t>。</w:t>
      </w:r>
      <w:r w:rsidRPr="00F02641">
        <w:rPr>
          <w:rFonts w:eastAsia="標楷體"/>
        </w:rPr>
        <w:t>台北：書林。</w:t>
      </w:r>
    </w:p>
    <w:p w:rsidR="000C67FA" w:rsidRPr="00F02641" w:rsidRDefault="000C67FA" w:rsidP="000C67FA">
      <w:pPr>
        <w:widowControl/>
        <w:numPr>
          <w:ilvl w:val="0"/>
          <w:numId w:val="3"/>
        </w:numPr>
        <w:rPr>
          <w:rFonts w:eastAsia="標楷體"/>
          <w:kern w:val="0"/>
        </w:rPr>
      </w:pPr>
      <w:r w:rsidRPr="00F02641">
        <w:rPr>
          <w:rFonts w:eastAsia="標楷體"/>
        </w:rPr>
        <w:lastRenderedPageBreak/>
        <w:t xml:space="preserve">West, C. &amp; D. H. Zimmerman. (2002). </w:t>
      </w:r>
      <w:r w:rsidRPr="00F02641">
        <w:rPr>
          <w:rFonts w:eastAsia="標楷體"/>
          <w:i/>
          <w:iCs/>
        </w:rPr>
        <w:t>Doing gender, Doing difference: Inequality, power, and institutional change</w:t>
      </w:r>
      <w:r w:rsidRPr="00F02641">
        <w:rPr>
          <w:rFonts w:eastAsia="標楷體"/>
        </w:rPr>
        <w:t>. New York: Routledge.</w:t>
      </w:r>
    </w:p>
    <w:p w:rsidR="000C67FA" w:rsidRPr="00F02641" w:rsidRDefault="000C67FA" w:rsidP="000C67FA">
      <w:pPr>
        <w:widowControl/>
        <w:numPr>
          <w:ilvl w:val="0"/>
          <w:numId w:val="3"/>
        </w:numPr>
        <w:rPr>
          <w:rFonts w:eastAsia="標楷體"/>
          <w:kern w:val="0"/>
        </w:rPr>
      </w:pPr>
      <w:r w:rsidRPr="00F02641">
        <w:rPr>
          <w:rFonts w:eastAsia="標楷體"/>
          <w:kern w:val="0"/>
        </w:rPr>
        <w:t>游美惠，（</w:t>
      </w:r>
      <w:r w:rsidRPr="00F02641">
        <w:rPr>
          <w:rFonts w:eastAsia="標楷體"/>
          <w:kern w:val="0"/>
        </w:rPr>
        <w:t>2014</w:t>
      </w:r>
      <w:r w:rsidRPr="00F02641">
        <w:rPr>
          <w:rFonts w:eastAsia="標楷體"/>
          <w:kern w:val="0"/>
        </w:rPr>
        <w:t>）。</w:t>
      </w:r>
      <w:r w:rsidRPr="00F02641">
        <w:rPr>
          <w:rFonts w:eastAsia="標楷體"/>
          <w:b/>
          <w:kern w:val="0"/>
        </w:rPr>
        <w:t>性別</w:t>
      </w:r>
      <w:proofErr w:type="gramStart"/>
      <w:r w:rsidRPr="00F02641">
        <w:rPr>
          <w:rFonts w:eastAsia="標楷體"/>
          <w:b/>
          <w:kern w:val="0"/>
        </w:rPr>
        <w:t>教育小詞庫</w:t>
      </w:r>
      <w:proofErr w:type="gramEnd"/>
      <w:r w:rsidRPr="00F02641">
        <w:rPr>
          <w:rFonts w:eastAsia="標楷體"/>
          <w:kern w:val="0"/>
        </w:rPr>
        <w:t>。台北：巨流。</w:t>
      </w:r>
    </w:p>
    <w:p w:rsidR="000C67FA" w:rsidRPr="00F02641" w:rsidRDefault="000C67FA" w:rsidP="000C67FA">
      <w:pPr>
        <w:numPr>
          <w:ilvl w:val="0"/>
          <w:numId w:val="3"/>
        </w:numPr>
        <w:rPr>
          <w:rFonts w:eastAsia="標楷體"/>
          <w:kern w:val="0"/>
        </w:rPr>
      </w:pPr>
      <w:r w:rsidRPr="00F02641">
        <w:rPr>
          <w:rFonts w:eastAsia="標楷體"/>
          <w:kern w:val="0"/>
        </w:rPr>
        <w:t>黃長玲、李佩雯主編，（</w:t>
      </w:r>
      <w:r w:rsidRPr="00F02641">
        <w:rPr>
          <w:rFonts w:eastAsia="標楷體"/>
          <w:kern w:val="0"/>
        </w:rPr>
        <w:t>2024</w:t>
      </w:r>
      <w:r w:rsidRPr="00F02641">
        <w:rPr>
          <w:rFonts w:eastAsia="標楷體"/>
          <w:kern w:val="0"/>
        </w:rPr>
        <w:t>）。</w:t>
      </w:r>
      <w:r w:rsidRPr="00F02641">
        <w:rPr>
          <w:rFonts w:eastAsia="標楷體"/>
          <w:b/>
          <w:kern w:val="0"/>
        </w:rPr>
        <w:t>台灣性別</w:t>
      </w:r>
      <w:r w:rsidRPr="00F02641">
        <w:rPr>
          <w:rFonts w:eastAsia="標楷體"/>
          <w:b/>
          <w:kern w:val="0"/>
        </w:rPr>
        <w:t>100+</w:t>
      </w:r>
      <w:r w:rsidRPr="00F02641">
        <w:rPr>
          <w:rFonts w:eastAsia="標楷體"/>
          <w:b/>
          <w:kern w:val="0"/>
        </w:rPr>
        <w:t>問</w:t>
      </w:r>
      <w:r w:rsidRPr="00F02641">
        <w:rPr>
          <w:rFonts w:eastAsia="標楷體"/>
          <w:kern w:val="0"/>
        </w:rPr>
        <w:t>。台北：巨流。</w:t>
      </w:r>
    </w:p>
    <w:p w:rsidR="000C67FA" w:rsidRPr="00F02641" w:rsidRDefault="000C67FA" w:rsidP="000C67FA">
      <w:pPr>
        <w:numPr>
          <w:ilvl w:val="0"/>
          <w:numId w:val="3"/>
        </w:numPr>
        <w:rPr>
          <w:rFonts w:eastAsia="標楷體"/>
          <w:kern w:val="0"/>
        </w:rPr>
      </w:pPr>
      <w:r w:rsidRPr="00F02641">
        <w:rPr>
          <w:rFonts w:eastAsia="標楷體"/>
          <w:kern w:val="0"/>
        </w:rPr>
        <w:t>黃淑玲、游美惠</w:t>
      </w:r>
      <w:bookmarkStart w:id="1" w:name="_Hlk48120585"/>
      <w:r w:rsidRPr="00F02641">
        <w:rPr>
          <w:rFonts w:eastAsia="標楷體"/>
          <w:kern w:val="0"/>
        </w:rPr>
        <w:t>主編，（</w:t>
      </w:r>
      <w:r w:rsidRPr="00F02641">
        <w:rPr>
          <w:rFonts w:eastAsia="標楷體"/>
          <w:kern w:val="0"/>
        </w:rPr>
        <w:t>2018</w:t>
      </w:r>
      <w:r w:rsidRPr="00F02641">
        <w:rPr>
          <w:rFonts w:eastAsia="標楷體"/>
          <w:kern w:val="0"/>
        </w:rPr>
        <w:t>）。</w:t>
      </w:r>
      <w:bookmarkEnd w:id="1"/>
      <w:r w:rsidRPr="00F02641">
        <w:rPr>
          <w:rFonts w:eastAsia="標楷體"/>
          <w:b/>
          <w:kern w:val="0"/>
        </w:rPr>
        <w:t>性別向度與台灣社會</w:t>
      </w:r>
      <w:r w:rsidRPr="00F02641">
        <w:rPr>
          <w:rFonts w:eastAsia="標楷體"/>
          <w:kern w:val="0"/>
        </w:rPr>
        <w:t>【三版】。台北：巨流。</w:t>
      </w:r>
    </w:p>
    <w:p w:rsidR="000C67FA" w:rsidRPr="00F02641" w:rsidRDefault="000C67FA" w:rsidP="000C67FA">
      <w:pPr>
        <w:rPr>
          <w:rFonts w:eastAsia="標楷體"/>
        </w:rPr>
      </w:pPr>
      <w:r w:rsidRPr="00F02641">
        <w:rPr>
          <w:rFonts w:eastAsia="標楷體"/>
        </w:rPr>
        <w:t>（</w:t>
      </w:r>
      <w:r w:rsidRPr="00F02641">
        <w:rPr>
          <w:rFonts w:eastAsia="標楷體"/>
        </w:rPr>
        <w:t>2</w:t>
      </w:r>
      <w:r w:rsidRPr="00F02641">
        <w:rPr>
          <w:rFonts w:eastAsia="標楷體"/>
        </w:rPr>
        <w:t>）參考書籍</w:t>
      </w:r>
    </w:p>
    <w:p w:rsidR="000C67FA" w:rsidRPr="00F02641" w:rsidRDefault="000C67FA" w:rsidP="000C67FA">
      <w:pPr>
        <w:numPr>
          <w:ilvl w:val="0"/>
          <w:numId w:val="5"/>
        </w:numPr>
        <w:rPr>
          <w:rFonts w:eastAsia="標楷體"/>
        </w:rPr>
      </w:pPr>
      <w:r w:rsidRPr="00F02641">
        <w:rPr>
          <w:rFonts w:eastAsia="標楷體"/>
        </w:rPr>
        <w:t>Arlie Hochschild</w:t>
      </w:r>
      <w:r w:rsidRPr="00F02641">
        <w:rPr>
          <w:rFonts w:eastAsia="標楷體"/>
        </w:rPr>
        <w:t>原著，張正霖譯，（</w:t>
      </w:r>
      <w:r w:rsidRPr="00F02641">
        <w:rPr>
          <w:rFonts w:eastAsia="標楷體"/>
        </w:rPr>
        <w:t>2017</w:t>
      </w:r>
      <w:r w:rsidRPr="00F02641">
        <w:rPr>
          <w:rFonts w:eastAsia="標楷體"/>
        </w:rPr>
        <w:t>）。</w:t>
      </w:r>
      <w:r w:rsidRPr="00F02641">
        <w:rPr>
          <w:rFonts w:eastAsia="標楷體"/>
          <w:b/>
        </w:rPr>
        <w:t>第二輪班：那些性別革命尚未完成的事。</w:t>
      </w:r>
      <w:proofErr w:type="gramStart"/>
      <w:r w:rsidRPr="00F02641">
        <w:rPr>
          <w:rFonts w:eastAsia="標楷體"/>
        </w:rPr>
        <w:t>臺</w:t>
      </w:r>
      <w:proofErr w:type="gramEnd"/>
      <w:r w:rsidRPr="00F02641">
        <w:rPr>
          <w:rFonts w:eastAsia="標楷體"/>
        </w:rPr>
        <w:t>北：</w:t>
      </w:r>
      <w:proofErr w:type="gramStart"/>
      <w:r w:rsidRPr="00F02641">
        <w:rPr>
          <w:rFonts w:eastAsia="標楷體"/>
        </w:rPr>
        <w:t>群學</w:t>
      </w:r>
      <w:proofErr w:type="gramEnd"/>
      <w:r w:rsidRPr="00F02641">
        <w:rPr>
          <w:rFonts w:eastAsia="標楷體"/>
        </w:rPr>
        <w:t>。</w:t>
      </w:r>
    </w:p>
    <w:p w:rsidR="000C67FA" w:rsidRPr="00F02641" w:rsidRDefault="000C67FA" w:rsidP="000C67FA">
      <w:pPr>
        <w:numPr>
          <w:ilvl w:val="0"/>
          <w:numId w:val="5"/>
        </w:numPr>
        <w:rPr>
          <w:rFonts w:eastAsia="標楷體"/>
        </w:rPr>
      </w:pPr>
      <w:r w:rsidRPr="00F02641">
        <w:rPr>
          <w:rFonts w:eastAsia="標楷體"/>
        </w:rPr>
        <w:t xml:space="preserve">Ehrenreich, Barbara </w:t>
      </w:r>
      <w:r w:rsidRPr="00F02641">
        <w:rPr>
          <w:rFonts w:eastAsia="標楷體"/>
        </w:rPr>
        <w:t>原著，林家瑄譯（</w:t>
      </w:r>
      <w:r w:rsidRPr="00F02641">
        <w:rPr>
          <w:rFonts w:eastAsia="標楷體"/>
        </w:rPr>
        <w:t>2010</w:t>
      </w:r>
      <w:r w:rsidRPr="00F02641">
        <w:rPr>
          <w:rFonts w:eastAsia="標楷體"/>
        </w:rPr>
        <w:t>）。</w:t>
      </w:r>
      <w:r w:rsidRPr="00F02641">
        <w:rPr>
          <w:rFonts w:eastAsia="標楷體"/>
          <w:b/>
        </w:rPr>
        <w:t>我在底層的生活：當專欄作家化身為女服務生</w:t>
      </w:r>
      <w:proofErr w:type="gramStart"/>
      <w:r w:rsidRPr="00F02641">
        <w:rPr>
          <w:rFonts w:eastAsia="標楷體"/>
        </w:rPr>
        <w:t>‧</w:t>
      </w:r>
      <w:proofErr w:type="gramEnd"/>
      <w:r w:rsidRPr="00F02641">
        <w:rPr>
          <w:rFonts w:eastAsia="標楷體"/>
        </w:rPr>
        <w:t>台北：左岸。</w:t>
      </w:r>
    </w:p>
    <w:p w:rsidR="000C67FA" w:rsidRPr="00F02641" w:rsidRDefault="000C67FA" w:rsidP="000C67FA">
      <w:pPr>
        <w:numPr>
          <w:ilvl w:val="0"/>
          <w:numId w:val="5"/>
        </w:numPr>
        <w:rPr>
          <w:rFonts w:eastAsia="標楷體"/>
        </w:rPr>
      </w:pPr>
      <w:r w:rsidRPr="00F02641">
        <w:rPr>
          <w:rFonts w:eastAsia="標楷體"/>
        </w:rPr>
        <w:t>Griffith, A. I. &amp; Smith, D. E.</w:t>
      </w:r>
      <w:r w:rsidRPr="00F02641">
        <w:rPr>
          <w:rFonts w:eastAsia="標楷體"/>
        </w:rPr>
        <w:t>原著，（</w:t>
      </w:r>
      <w:r w:rsidRPr="00F02641">
        <w:rPr>
          <w:rFonts w:eastAsia="標楷體"/>
        </w:rPr>
        <w:t>2008</w:t>
      </w:r>
      <w:r w:rsidRPr="00F02641">
        <w:rPr>
          <w:rFonts w:eastAsia="標楷體"/>
        </w:rPr>
        <w:t>）。</w:t>
      </w:r>
      <w:r w:rsidRPr="00F02641">
        <w:rPr>
          <w:rFonts w:eastAsia="標楷體"/>
          <w:b/>
        </w:rPr>
        <w:t>母職任務與學校教育的拔河</w:t>
      </w:r>
      <w:r w:rsidRPr="00F02641">
        <w:rPr>
          <w:rFonts w:eastAsia="標楷體"/>
        </w:rPr>
        <w:t>。台北：高教。</w:t>
      </w:r>
    </w:p>
    <w:p w:rsidR="000C67FA" w:rsidRPr="00F02641" w:rsidRDefault="000C67FA" w:rsidP="000C67FA">
      <w:pPr>
        <w:numPr>
          <w:ilvl w:val="0"/>
          <w:numId w:val="5"/>
        </w:numPr>
        <w:rPr>
          <w:rFonts w:eastAsia="標楷體"/>
        </w:rPr>
      </w:pPr>
      <w:r w:rsidRPr="00F02641">
        <w:rPr>
          <w:rFonts w:eastAsia="標楷體"/>
        </w:rPr>
        <w:t xml:space="preserve">Kanter , </w:t>
      </w:r>
      <w:proofErr w:type="spellStart"/>
      <w:r w:rsidRPr="00F02641">
        <w:rPr>
          <w:rFonts w:eastAsia="標楷體"/>
        </w:rPr>
        <w:t>Rosabeth</w:t>
      </w:r>
      <w:proofErr w:type="spellEnd"/>
      <w:r w:rsidRPr="00F02641">
        <w:rPr>
          <w:rFonts w:eastAsia="標楷體"/>
        </w:rPr>
        <w:t xml:space="preserve"> Moss</w:t>
      </w:r>
      <w:r w:rsidRPr="00F02641">
        <w:rPr>
          <w:rFonts w:eastAsia="標楷體"/>
        </w:rPr>
        <w:t>原著，</w:t>
      </w:r>
      <w:r w:rsidRPr="00F02641">
        <w:rPr>
          <w:rFonts w:eastAsia="標楷體"/>
        </w:rPr>
        <w:t xml:space="preserve">Nakao </w:t>
      </w:r>
      <w:proofErr w:type="spellStart"/>
      <w:r w:rsidRPr="00F02641">
        <w:rPr>
          <w:rFonts w:eastAsia="標楷體"/>
        </w:rPr>
        <w:t>Eki</w:t>
      </w:r>
      <w:proofErr w:type="spellEnd"/>
      <w:r w:rsidRPr="00F02641">
        <w:rPr>
          <w:rFonts w:eastAsia="標楷體"/>
        </w:rPr>
        <w:t>譯，</w:t>
      </w:r>
      <w:proofErr w:type="gramStart"/>
      <w:r w:rsidRPr="00F02641">
        <w:rPr>
          <w:rFonts w:eastAsia="標楷體"/>
        </w:rPr>
        <w:t>國立編譯館主譯</w:t>
      </w:r>
      <w:proofErr w:type="gramEnd"/>
      <w:r w:rsidRPr="00F02641">
        <w:rPr>
          <w:rFonts w:eastAsia="標楷體"/>
        </w:rPr>
        <w:t>，（</w:t>
      </w:r>
      <w:r w:rsidRPr="00F02641">
        <w:rPr>
          <w:rFonts w:eastAsia="標楷體"/>
        </w:rPr>
        <w:t>2008</w:t>
      </w:r>
      <w:r w:rsidRPr="00F02641">
        <w:rPr>
          <w:rFonts w:eastAsia="標楷體"/>
        </w:rPr>
        <w:t>）。</w:t>
      </w:r>
      <w:r w:rsidRPr="00F02641">
        <w:rPr>
          <w:rFonts w:eastAsia="標楷體"/>
          <w:b/>
        </w:rPr>
        <w:t>公司男女</w:t>
      </w:r>
      <w:r w:rsidRPr="00F02641">
        <w:rPr>
          <w:rFonts w:eastAsia="標楷體"/>
        </w:rPr>
        <w:t>。</w:t>
      </w:r>
      <w:proofErr w:type="gramStart"/>
      <w:r w:rsidRPr="00F02641">
        <w:rPr>
          <w:rFonts w:eastAsia="標楷體"/>
        </w:rPr>
        <w:t>臺</w:t>
      </w:r>
      <w:proofErr w:type="gramEnd"/>
      <w:r w:rsidRPr="00F02641">
        <w:rPr>
          <w:rFonts w:eastAsia="標楷體"/>
        </w:rPr>
        <w:t>北：</w:t>
      </w:r>
      <w:proofErr w:type="gramStart"/>
      <w:r w:rsidRPr="00F02641">
        <w:rPr>
          <w:rFonts w:eastAsia="標楷體"/>
        </w:rPr>
        <w:t>群學</w:t>
      </w:r>
      <w:proofErr w:type="gramEnd"/>
      <w:r w:rsidRPr="00F02641">
        <w:rPr>
          <w:rFonts w:eastAsia="標楷體"/>
        </w:rPr>
        <w:t>。</w:t>
      </w:r>
    </w:p>
    <w:p w:rsidR="000C67FA" w:rsidRPr="00F02641" w:rsidRDefault="000C67FA" w:rsidP="000C67FA">
      <w:pPr>
        <w:numPr>
          <w:ilvl w:val="0"/>
          <w:numId w:val="5"/>
        </w:numPr>
        <w:rPr>
          <w:rFonts w:eastAsia="標楷體"/>
        </w:rPr>
      </w:pPr>
      <w:r w:rsidRPr="00F02641">
        <w:rPr>
          <w:rFonts w:eastAsia="標楷體"/>
        </w:rPr>
        <w:t>Pamela Abbott &amp; Claire Wallace</w:t>
      </w:r>
      <w:r w:rsidRPr="00F02641">
        <w:rPr>
          <w:rFonts w:eastAsia="標楷體"/>
        </w:rPr>
        <w:t>原著，</w:t>
      </w:r>
      <w:proofErr w:type="gramStart"/>
      <w:r w:rsidRPr="00F02641">
        <w:rPr>
          <w:rFonts w:eastAsia="標楷體"/>
        </w:rPr>
        <w:t>俞智敏等譯</w:t>
      </w:r>
      <w:proofErr w:type="gramEnd"/>
      <w:r w:rsidRPr="00F02641">
        <w:rPr>
          <w:rFonts w:eastAsia="標楷體"/>
        </w:rPr>
        <w:t>，（</w:t>
      </w:r>
      <w:r w:rsidRPr="00F02641">
        <w:rPr>
          <w:rFonts w:eastAsia="標楷體"/>
        </w:rPr>
        <w:t>1996</w:t>
      </w:r>
      <w:r w:rsidRPr="00F02641">
        <w:rPr>
          <w:rFonts w:eastAsia="標楷體"/>
        </w:rPr>
        <w:t>）。</w:t>
      </w:r>
      <w:r w:rsidRPr="00F02641">
        <w:rPr>
          <w:rFonts w:eastAsia="標楷體"/>
          <w:b/>
        </w:rPr>
        <w:t>女性主義觀點的社會學</w:t>
      </w:r>
      <w:r w:rsidRPr="00F02641">
        <w:rPr>
          <w:rFonts w:eastAsia="標楷體"/>
        </w:rPr>
        <w:t>。台北：巨流。</w:t>
      </w:r>
    </w:p>
    <w:p w:rsidR="000C67FA" w:rsidRPr="00F02641" w:rsidRDefault="000C67FA" w:rsidP="000C67FA">
      <w:pPr>
        <w:numPr>
          <w:ilvl w:val="0"/>
          <w:numId w:val="5"/>
        </w:numPr>
        <w:rPr>
          <w:rFonts w:eastAsia="標楷體"/>
        </w:rPr>
      </w:pPr>
      <w:r w:rsidRPr="00F02641">
        <w:rPr>
          <w:rFonts w:eastAsia="標楷體"/>
        </w:rPr>
        <w:t xml:space="preserve">Wharton, A. S. (2005). </w:t>
      </w:r>
      <w:r w:rsidRPr="00F02641">
        <w:rPr>
          <w:rFonts w:eastAsia="標楷體"/>
          <w:i/>
        </w:rPr>
        <w:t>The sociology of gender.</w:t>
      </w:r>
      <w:r w:rsidRPr="00F02641">
        <w:rPr>
          <w:rFonts w:eastAsia="標楷體"/>
        </w:rPr>
        <w:t xml:space="preserve"> Malden: Blackwell, 2nd Edition. </w:t>
      </w:r>
    </w:p>
    <w:p w:rsidR="000C67FA" w:rsidRPr="00F02641" w:rsidRDefault="000C67FA" w:rsidP="000C67FA">
      <w:pPr>
        <w:numPr>
          <w:ilvl w:val="0"/>
          <w:numId w:val="5"/>
        </w:numPr>
        <w:rPr>
          <w:rFonts w:eastAsia="標楷體"/>
        </w:rPr>
      </w:pPr>
      <w:r w:rsidRPr="00F02641">
        <w:rPr>
          <w:rFonts w:eastAsia="標楷體"/>
        </w:rPr>
        <w:t>陳瑤華主編，（</w:t>
      </w:r>
      <w:r w:rsidRPr="00F02641">
        <w:rPr>
          <w:rFonts w:eastAsia="標楷體"/>
        </w:rPr>
        <w:t>2014</w:t>
      </w:r>
      <w:r w:rsidRPr="00F02641">
        <w:rPr>
          <w:rFonts w:eastAsia="標楷體"/>
        </w:rPr>
        <w:t>）。</w:t>
      </w:r>
      <w:r w:rsidRPr="00F02641">
        <w:rPr>
          <w:rFonts w:eastAsia="標楷體"/>
          <w:b/>
        </w:rPr>
        <w:t>台灣婦女處境白皮書：</w:t>
      </w:r>
      <w:r w:rsidRPr="00F02641">
        <w:rPr>
          <w:rFonts w:eastAsia="標楷體"/>
          <w:b/>
        </w:rPr>
        <w:t>2014</w:t>
      </w:r>
      <w:r w:rsidRPr="00F02641">
        <w:rPr>
          <w:rFonts w:eastAsia="標楷體"/>
        </w:rPr>
        <w:t>。台北：女書文化。</w:t>
      </w:r>
    </w:p>
    <w:p w:rsidR="000C67FA" w:rsidRPr="00F02641" w:rsidRDefault="000C67FA" w:rsidP="000C67FA">
      <w:pPr>
        <w:numPr>
          <w:ilvl w:val="0"/>
          <w:numId w:val="5"/>
        </w:numPr>
        <w:rPr>
          <w:rFonts w:eastAsia="標楷體"/>
        </w:rPr>
      </w:pPr>
      <w:proofErr w:type="gramStart"/>
      <w:r w:rsidRPr="00F02641">
        <w:rPr>
          <w:rFonts w:eastAsia="標楷體"/>
        </w:rPr>
        <w:t>藍佩嘉著</w:t>
      </w:r>
      <w:proofErr w:type="gramEnd"/>
      <w:r w:rsidRPr="00F02641">
        <w:rPr>
          <w:rFonts w:eastAsia="標楷體"/>
        </w:rPr>
        <w:t>，（</w:t>
      </w:r>
      <w:r w:rsidRPr="00F02641">
        <w:rPr>
          <w:rFonts w:eastAsia="標楷體"/>
        </w:rPr>
        <w:t>2008</w:t>
      </w:r>
      <w:r w:rsidRPr="00F02641">
        <w:rPr>
          <w:rFonts w:eastAsia="標楷體"/>
        </w:rPr>
        <w:t>）。</w:t>
      </w:r>
      <w:r w:rsidRPr="00F02641">
        <w:rPr>
          <w:rFonts w:eastAsia="標楷體"/>
          <w:b/>
        </w:rPr>
        <w:t>跨國灰姑娘</w:t>
      </w:r>
      <w:r w:rsidRPr="00F02641">
        <w:rPr>
          <w:rFonts w:eastAsia="標楷體"/>
        </w:rPr>
        <w:t>。台北：行人。</w:t>
      </w:r>
    </w:p>
    <w:p w:rsidR="000C67FA" w:rsidRPr="00F02641" w:rsidRDefault="000C67FA" w:rsidP="000C67FA">
      <w:pPr>
        <w:rPr>
          <w:rFonts w:eastAsia="標楷體"/>
        </w:rPr>
      </w:pPr>
      <w:r w:rsidRPr="00F02641">
        <w:rPr>
          <w:rFonts w:eastAsia="標楷體"/>
        </w:rPr>
        <w:t>（</w:t>
      </w:r>
      <w:r w:rsidRPr="00F02641">
        <w:rPr>
          <w:rFonts w:eastAsia="標楷體"/>
        </w:rPr>
        <w:t>3</w:t>
      </w:r>
      <w:r w:rsidRPr="00F02641">
        <w:rPr>
          <w:rFonts w:eastAsia="標楷體"/>
        </w:rPr>
        <w:t>）配合研討主題，</w:t>
      </w:r>
      <w:proofErr w:type="gramStart"/>
      <w:r w:rsidRPr="00F02641">
        <w:rPr>
          <w:rFonts w:eastAsia="標楷體"/>
        </w:rPr>
        <w:t>研</w:t>
      </w:r>
      <w:proofErr w:type="gramEnd"/>
      <w:r w:rsidRPr="00F02641">
        <w:rPr>
          <w:rFonts w:eastAsia="標楷體"/>
        </w:rPr>
        <w:t>讀相關中英文閱讀材料，包括專書、研究報告與論文，參見以下「主要讀本、參考書目與教學進度」。</w:t>
      </w:r>
    </w:p>
    <w:p w:rsidR="000C67FA" w:rsidRPr="00F02641" w:rsidRDefault="000C67FA" w:rsidP="000C67FA">
      <w:pPr>
        <w:rPr>
          <w:rFonts w:eastAsia="標楷體"/>
        </w:rPr>
      </w:pPr>
    </w:p>
    <w:p w:rsidR="000C67FA" w:rsidRPr="00F02641" w:rsidRDefault="000C67FA" w:rsidP="000C67FA">
      <w:pPr>
        <w:tabs>
          <w:tab w:val="left" w:pos="540"/>
        </w:tabs>
        <w:rPr>
          <w:rFonts w:eastAsia="標楷體"/>
          <w:b/>
        </w:rPr>
      </w:pPr>
      <w:r w:rsidRPr="00F02641">
        <w:rPr>
          <w:rFonts w:eastAsia="標楷體"/>
          <w:b/>
        </w:rPr>
        <w:t>四、教學方法：</w:t>
      </w:r>
    </w:p>
    <w:p w:rsidR="000C67FA" w:rsidRPr="00F02641" w:rsidRDefault="000C67FA" w:rsidP="000C67FA">
      <w:pPr>
        <w:numPr>
          <w:ilvl w:val="0"/>
          <w:numId w:val="2"/>
        </w:numPr>
        <w:rPr>
          <w:rFonts w:eastAsia="標楷體"/>
        </w:rPr>
      </w:pPr>
      <w:r w:rsidRPr="00F02641">
        <w:rPr>
          <w:rFonts w:eastAsia="標楷體"/>
        </w:rPr>
        <w:t>性別議題的講授與</w:t>
      </w:r>
      <w:proofErr w:type="gramStart"/>
      <w:r w:rsidRPr="00F02641">
        <w:rPr>
          <w:rFonts w:eastAsia="標楷體"/>
        </w:rPr>
        <w:t>思辯</w:t>
      </w:r>
      <w:proofErr w:type="gramEnd"/>
      <w:r w:rsidRPr="00F02641">
        <w:rPr>
          <w:rFonts w:eastAsia="標楷體"/>
        </w:rPr>
        <w:t>。</w:t>
      </w:r>
    </w:p>
    <w:p w:rsidR="000C67FA" w:rsidRPr="00F02641" w:rsidRDefault="000C67FA" w:rsidP="000C67FA">
      <w:pPr>
        <w:numPr>
          <w:ilvl w:val="0"/>
          <w:numId w:val="2"/>
        </w:numPr>
        <w:rPr>
          <w:rFonts w:eastAsia="標楷體"/>
        </w:rPr>
      </w:pPr>
      <w:r w:rsidRPr="00F02641">
        <w:rPr>
          <w:rFonts w:eastAsia="標楷體"/>
        </w:rPr>
        <w:t>學生的口頭報告與引導討論。</w:t>
      </w:r>
    </w:p>
    <w:p w:rsidR="000C67FA" w:rsidRPr="00F02641" w:rsidRDefault="000C67FA" w:rsidP="000C67FA">
      <w:pPr>
        <w:numPr>
          <w:ilvl w:val="0"/>
          <w:numId w:val="2"/>
        </w:numPr>
        <w:rPr>
          <w:rFonts w:eastAsia="標楷體"/>
        </w:rPr>
      </w:pPr>
      <w:r w:rsidRPr="00F02641">
        <w:rPr>
          <w:rFonts w:eastAsia="標楷體"/>
        </w:rPr>
        <w:t>由對話中啟發性別意識並增強解析力、激發批判力。</w:t>
      </w:r>
    </w:p>
    <w:p w:rsidR="000C67FA" w:rsidRPr="00F02641" w:rsidRDefault="000C67FA" w:rsidP="000C67FA">
      <w:pPr>
        <w:rPr>
          <w:rFonts w:eastAsia="標楷體"/>
        </w:rPr>
      </w:pPr>
    </w:p>
    <w:p w:rsidR="000C67FA" w:rsidRPr="00F02641" w:rsidRDefault="000C67FA" w:rsidP="000C67FA">
      <w:pPr>
        <w:tabs>
          <w:tab w:val="left" w:pos="540"/>
        </w:tabs>
        <w:rPr>
          <w:rFonts w:eastAsia="標楷體"/>
          <w:b/>
        </w:rPr>
      </w:pPr>
      <w:r w:rsidRPr="00F02641">
        <w:rPr>
          <w:rFonts w:eastAsia="標楷體"/>
          <w:b/>
        </w:rPr>
        <w:t>五、教學評量：</w:t>
      </w:r>
    </w:p>
    <w:p w:rsidR="000C67FA" w:rsidRPr="00F02641" w:rsidRDefault="000C67FA" w:rsidP="000C67FA">
      <w:pPr>
        <w:numPr>
          <w:ilvl w:val="0"/>
          <w:numId w:val="2"/>
        </w:numPr>
        <w:rPr>
          <w:rFonts w:eastAsia="標楷體"/>
        </w:rPr>
      </w:pPr>
      <w:r w:rsidRPr="00F02641">
        <w:rPr>
          <w:rFonts w:eastAsia="標楷體"/>
        </w:rPr>
        <w:t>課程的出席及參與討論</w:t>
      </w:r>
      <w:r w:rsidRPr="00F02641">
        <w:rPr>
          <w:rFonts w:eastAsia="標楷體"/>
        </w:rPr>
        <w:t>20%</w:t>
      </w:r>
    </w:p>
    <w:p w:rsidR="000C67FA" w:rsidRPr="00F02641" w:rsidRDefault="000C67FA" w:rsidP="000C67FA">
      <w:pPr>
        <w:numPr>
          <w:ilvl w:val="0"/>
          <w:numId w:val="2"/>
        </w:numPr>
        <w:rPr>
          <w:rFonts w:eastAsia="標楷體"/>
        </w:rPr>
      </w:pPr>
      <w:r w:rsidRPr="00F02641">
        <w:rPr>
          <w:rFonts w:eastAsia="標楷體"/>
        </w:rPr>
        <w:t>課堂導讀</w:t>
      </w:r>
      <w:r w:rsidRPr="00F02641">
        <w:rPr>
          <w:rFonts w:eastAsia="標楷體"/>
        </w:rPr>
        <w:t>20%</w:t>
      </w:r>
    </w:p>
    <w:p w:rsidR="000C67FA" w:rsidRPr="00F02641" w:rsidRDefault="000C67FA" w:rsidP="000C67FA">
      <w:pPr>
        <w:numPr>
          <w:ilvl w:val="0"/>
          <w:numId w:val="2"/>
        </w:numPr>
        <w:rPr>
          <w:rFonts w:eastAsia="標楷體"/>
        </w:rPr>
      </w:pPr>
      <w:r w:rsidRPr="00F02641">
        <w:rPr>
          <w:rFonts w:eastAsia="標楷體"/>
        </w:rPr>
        <w:t>期初報告</w:t>
      </w:r>
      <w:r w:rsidRPr="00F02641">
        <w:rPr>
          <w:rFonts w:eastAsia="標楷體"/>
        </w:rPr>
        <w:t>10%(</w:t>
      </w:r>
      <w:r w:rsidRPr="00F02641">
        <w:rPr>
          <w:rFonts w:eastAsia="標楷體"/>
        </w:rPr>
        <w:t>巷子口社會學性別文章閱讀口頭簡報</w:t>
      </w:r>
      <w:r w:rsidRPr="00F02641">
        <w:rPr>
          <w:rFonts w:eastAsia="標楷體"/>
        </w:rPr>
        <w:t>)</w:t>
      </w:r>
    </w:p>
    <w:p w:rsidR="000C67FA" w:rsidRPr="00F02641" w:rsidRDefault="000C67FA" w:rsidP="000C67FA">
      <w:pPr>
        <w:numPr>
          <w:ilvl w:val="0"/>
          <w:numId w:val="2"/>
        </w:numPr>
        <w:rPr>
          <w:rFonts w:eastAsia="標楷體"/>
        </w:rPr>
      </w:pPr>
      <w:r w:rsidRPr="00F02641">
        <w:rPr>
          <w:rFonts w:eastAsia="標楷體"/>
        </w:rPr>
        <w:t>期中報告</w:t>
      </w:r>
      <w:r w:rsidRPr="00F02641">
        <w:rPr>
          <w:rFonts w:eastAsia="標楷體"/>
        </w:rPr>
        <w:t>20</w:t>
      </w:r>
      <w:r w:rsidRPr="00F02641">
        <w:rPr>
          <w:rFonts w:eastAsia="標楷體"/>
        </w:rPr>
        <w:t>％</w:t>
      </w:r>
      <w:r w:rsidRPr="00F02641">
        <w:rPr>
          <w:rFonts w:eastAsia="標楷體"/>
        </w:rPr>
        <w:t>(</w:t>
      </w:r>
      <w:r w:rsidRPr="00F02641">
        <w:rPr>
          <w:rFonts w:eastAsia="標楷體"/>
        </w:rPr>
        <w:t>性別關係實例分析</w:t>
      </w:r>
      <w:r w:rsidRPr="00F02641">
        <w:rPr>
          <w:rFonts w:eastAsia="標楷體"/>
        </w:rPr>
        <w:t>)</w:t>
      </w:r>
    </w:p>
    <w:p w:rsidR="000C67FA" w:rsidRPr="00F02641" w:rsidRDefault="000C67FA" w:rsidP="000C67FA">
      <w:pPr>
        <w:numPr>
          <w:ilvl w:val="0"/>
          <w:numId w:val="2"/>
        </w:numPr>
        <w:rPr>
          <w:rFonts w:eastAsia="標楷體"/>
        </w:rPr>
      </w:pPr>
      <w:r w:rsidRPr="00F02641">
        <w:rPr>
          <w:rFonts w:eastAsia="標楷體"/>
        </w:rPr>
        <w:t>期末報告</w:t>
      </w:r>
      <w:r w:rsidRPr="00F02641">
        <w:rPr>
          <w:rFonts w:eastAsia="標楷體"/>
        </w:rPr>
        <w:t>30%(</w:t>
      </w:r>
      <w:r w:rsidRPr="00F02641">
        <w:rPr>
          <w:rFonts w:eastAsia="標楷體"/>
        </w:rPr>
        <w:t>分組口頭報告</w:t>
      </w:r>
      <w:r w:rsidRPr="00F02641">
        <w:rPr>
          <w:rFonts w:eastAsia="標楷體"/>
        </w:rPr>
        <w:t>10%</w:t>
      </w:r>
      <w:r w:rsidRPr="00F02641">
        <w:rPr>
          <w:rFonts w:eastAsia="標楷體"/>
        </w:rPr>
        <w:t>，個人書面報告</w:t>
      </w:r>
      <w:r w:rsidRPr="00F02641">
        <w:rPr>
          <w:rFonts w:eastAsia="標楷體"/>
        </w:rPr>
        <w:t>20%)</w:t>
      </w:r>
    </w:p>
    <w:p w:rsidR="000C67FA" w:rsidRPr="00F02641" w:rsidRDefault="000C67FA" w:rsidP="000C67FA">
      <w:pPr>
        <w:rPr>
          <w:rFonts w:eastAsia="標楷體"/>
        </w:rPr>
      </w:pPr>
    </w:p>
    <w:p w:rsidR="000C67FA" w:rsidRPr="00F02641" w:rsidRDefault="000C67FA" w:rsidP="000C67FA">
      <w:pPr>
        <w:tabs>
          <w:tab w:val="left" w:pos="540"/>
        </w:tabs>
        <w:rPr>
          <w:rFonts w:eastAsia="標楷體"/>
          <w:b/>
        </w:rPr>
      </w:pPr>
      <w:r w:rsidRPr="00F02641">
        <w:rPr>
          <w:rFonts w:eastAsia="標楷體"/>
          <w:b/>
        </w:rPr>
        <w:t>六、主要讀本、參考書目與教學進度：</w:t>
      </w:r>
    </w:p>
    <w:p w:rsidR="000C67FA" w:rsidRPr="00F02641" w:rsidRDefault="000C67FA" w:rsidP="000C67FA">
      <w:pPr>
        <w:numPr>
          <w:ilvl w:val="0"/>
          <w:numId w:val="4"/>
        </w:numPr>
        <w:spacing w:line="300" w:lineRule="exact"/>
        <w:rPr>
          <w:rFonts w:eastAsia="標楷體"/>
        </w:rPr>
      </w:pPr>
      <w:r w:rsidRPr="00F02641">
        <w:rPr>
          <w:rFonts w:eastAsia="標楷體"/>
        </w:rPr>
        <w:t>導論</w:t>
      </w:r>
      <w:proofErr w:type="gramStart"/>
      <w:r w:rsidRPr="00F02641">
        <w:rPr>
          <w:rFonts w:eastAsia="標楷體"/>
        </w:rPr>
        <w:t>＆</w:t>
      </w:r>
      <w:proofErr w:type="gramEnd"/>
      <w:r w:rsidRPr="00F02641">
        <w:rPr>
          <w:rFonts w:eastAsia="標楷體"/>
        </w:rPr>
        <w:t xml:space="preserve"> </w:t>
      </w:r>
      <w:r w:rsidRPr="00F02641">
        <w:rPr>
          <w:rFonts w:eastAsia="標楷體"/>
        </w:rPr>
        <w:t>課程簡介（</w:t>
      </w:r>
      <w:r w:rsidRPr="00F02641">
        <w:rPr>
          <w:rFonts w:eastAsia="標楷體"/>
        </w:rPr>
        <w:t>2/22</w:t>
      </w:r>
      <w:r w:rsidRPr="00F02641">
        <w:rPr>
          <w:rFonts w:eastAsia="標楷體"/>
        </w:rPr>
        <w:t>）</w:t>
      </w:r>
    </w:p>
    <w:p w:rsidR="000C67FA" w:rsidRPr="00F02641" w:rsidRDefault="000C67FA" w:rsidP="000C67FA">
      <w:pPr>
        <w:spacing w:line="300" w:lineRule="exact"/>
        <w:ind w:left="720"/>
        <w:rPr>
          <w:rFonts w:eastAsia="標楷體"/>
        </w:rPr>
      </w:pPr>
    </w:p>
    <w:p w:rsidR="000C67FA" w:rsidRPr="00F02641" w:rsidRDefault="000C67FA" w:rsidP="000C67FA">
      <w:pPr>
        <w:numPr>
          <w:ilvl w:val="0"/>
          <w:numId w:val="4"/>
        </w:numPr>
        <w:spacing w:line="300" w:lineRule="exact"/>
        <w:rPr>
          <w:rFonts w:eastAsia="標楷體"/>
          <w:bCs/>
          <w:kern w:val="0"/>
        </w:rPr>
      </w:pPr>
      <w:r w:rsidRPr="00F02641">
        <w:rPr>
          <w:rFonts w:eastAsia="標楷體"/>
        </w:rPr>
        <w:t>性別分析與社會學的想像力（</w:t>
      </w:r>
      <w:r w:rsidRPr="00F02641">
        <w:rPr>
          <w:rFonts w:eastAsia="標楷體"/>
        </w:rPr>
        <w:t>2/29</w:t>
      </w:r>
      <w:r w:rsidRPr="00F02641">
        <w:rPr>
          <w:rFonts w:eastAsia="標楷體"/>
        </w:rPr>
        <w:t>）（</w:t>
      </w:r>
      <w:r w:rsidRPr="00F02641">
        <w:rPr>
          <w:rFonts w:eastAsia="標楷體"/>
        </w:rPr>
        <w:t>3/7</w:t>
      </w:r>
      <w:r w:rsidRPr="00F02641">
        <w:rPr>
          <w:rFonts w:eastAsia="標楷體"/>
        </w:rPr>
        <w:t>）</w:t>
      </w:r>
    </w:p>
    <w:p w:rsidR="000C67FA" w:rsidRPr="00F02641" w:rsidRDefault="000C67FA" w:rsidP="000C67FA">
      <w:pPr>
        <w:spacing w:line="300" w:lineRule="exact"/>
        <w:ind w:left="540" w:hangingChars="225" w:hanging="540"/>
        <w:rPr>
          <w:rFonts w:eastAsia="標楷體"/>
        </w:rPr>
      </w:pPr>
      <w:r w:rsidRPr="00F02641">
        <w:rPr>
          <w:rFonts w:eastAsia="標楷體"/>
        </w:rPr>
        <w:lastRenderedPageBreak/>
        <w:t>閱讀巷仔口社會學網頁</w:t>
      </w:r>
      <w:hyperlink r:id="rId7" w:history="1">
        <w:r w:rsidRPr="00F02641">
          <w:rPr>
            <w:rStyle w:val="a3"/>
            <w:rFonts w:eastAsia="標楷體"/>
          </w:rPr>
          <w:t>http://twstreetcorner.org/</w:t>
        </w:r>
      </w:hyperlink>
      <w:r w:rsidRPr="00F02641">
        <w:rPr>
          <w:rFonts w:eastAsia="標楷體"/>
        </w:rPr>
        <w:t>，性別相關文章，（</w:t>
      </w:r>
      <w:r w:rsidRPr="00F02641">
        <w:rPr>
          <w:rFonts w:eastAsia="標楷體"/>
        </w:rPr>
        <w:t>2/29</w:t>
      </w:r>
      <w:r w:rsidRPr="00F02641">
        <w:rPr>
          <w:rFonts w:eastAsia="標楷體"/>
        </w:rPr>
        <w:t>）口頭報告。</w:t>
      </w:r>
      <w:r w:rsidRPr="00F02641">
        <w:rPr>
          <w:rFonts w:eastAsia="標楷體"/>
        </w:rPr>
        <w:t xml:space="preserve"> </w:t>
      </w:r>
    </w:p>
    <w:tbl>
      <w:tblPr>
        <w:tblStyle w:val="a4"/>
        <w:tblW w:w="0" w:type="auto"/>
        <w:tblInd w:w="540" w:type="dxa"/>
        <w:tblLook w:val="04A0" w:firstRow="1" w:lastRow="0" w:firstColumn="1" w:lastColumn="0" w:noHBand="0" w:noVBand="1"/>
      </w:tblPr>
      <w:tblGrid>
        <w:gridCol w:w="7756"/>
      </w:tblGrid>
      <w:tr w:rsidR="000C67FA" w:rsidRPr="00F02641" w:rsidTr="00BF2D12">
        <w:tc>
          <w:tcPr>
            <w:tcW w:w="9126" w:type="dxa"/>
          </w:tcPr>
          <w:p w:rsidR="000C67FA" w:rsidRPr="00F02641" w:rsidRDefault="000C67FA" w:rsidP="000C67FA">
            <w:pPr>
              <w:numPr>
                <w:ilvl w:val="0"/>
                <w:numId w:val="6"/>
              </w:numPr>
              <w:spacing w:line="300" w:lineRule="exact"/>
              <w:rPr>
                <w:rFonts w:eastAsia="標楷體"/>
              </w:rPr>
            </w:pPr>
            <w:r w:rsidRPr="00F02641">
              <w:rPr>
                <w:rFonts w:eastAsia="標楷體"/>
              </w:rPr>
              <w:t></w:t>
            </w:r>
            <w:r w:rsidRPr="00F02641">
              <w:rPr>
                <w:rFonts w:eastAsia="標楷體"/>
              </w:rPr>
              <w:tab/>
            </w:r>
            <w:r w:rsidRPr="00F02641">
              <w:rPr>
                <w:rFonts w:eastAsia="標楷體"/>
              </w:rPr>
              <w:t>異性戀霸權是什麼</w:t>
            </w:r>
          </w:p>
          <w:p w:rsidR="000C67FA" w:rsidRPr="00F02641" w:rsidRDefault="000C67FA" w:rsidP="000C67FA">
            <w:pPr>
              <w:numPr>
                <w:ilvl w:val="0"/>
                <w:numId w:val="6"/>
              </w:numPr>
              <w:spacing w:line="300" w:lineRule="exact"/>
              <w:rPr>
                <w:rFonts w:eastAsia="標楷體"/>
              </w:rPr>
            </w:pPr>
            <w:r w:rsidRPr="00F02641">
              <w:rPr>
                <w:rFonts w:eastAsia="標楷體"/>
              </w:rPr>
              <w:t></w:t>
            </w:r>
            <w:r w:rsidRPr="00F02641">
              <w:rPr>
                <w:rFonts w:eastAsia="標楷體"/>
              </w:rPr>
              <w:tab/>
            </w:r>
            <w:r w:rsidRPr="00F02641">
              <w:rPr>
                <w:rFonts w:eastAsia="標楷體"/>
              </w:rPr>
              <w:t>沒有經濟沒有關係？親密關係與經濟活動是敵？是友？還是</w:t>
            </w:r>
            <w:r w:rsidRPr="00F02641">
              <w:rPr>
                <w:rFonts w:eastAsia="標楷體"/>
              </w:rPr>
              <w:t>…</w:t>
            </w:r>
            <w:proofErr w:type="gramStart"/>
            <w:r w:rsidRPr="00F02641">
              <w:rPr>
                <w:rFonts w:eastAsia="標楷體"/>
              </w:rPr>
              <w:t>…</w:t>
            </w:r>
            <w:proofErr w:type="gramEnd"/>
            <w:r w:rsidRPr="00F02641">
              <w:rPr>
                <w:rFonts w:eastAsia="標楷體"/>
              </w:rPr>
              <w:t>？</w:t>
            </w:r>
          </w:p>
          <w:p w:rsidR="000C67FA" w:rsidRPr="00F02641" w:rsidRDefault="000C67FA" w:rsidP="000C67FA">
            <w:pPr>
              <w:numPr>
                <w:ilvl w:val="0"/>
                <w:numId w:val="6"/>
              </w:numPr>
              <w:spacing w:line="300" w:lineRule="exact"/>
              <w:rPr>
                <w:rFonts w:eastAsia="標楷體"/>
              </w:rPr>
            </w:pPr>
            <w:r w:rsidRPr="00F02641">
              <w:rPr>
                <w:rFonts w:eastAsia="標楷體"/>
              </w:rPr>
              <w:t></w:t>
            </w:r>
            <w:r w:rsidRPr="00F02641">
              <w:rPr>
                <w:rFonts w:eastAsia="標楷體"/>
              </w:rPr>
              <w:tab/>
            </w:r>
            <w:r w:rsidRPr="00F02641">
              <w:rPr>
                <w:rFonts w:eastAsia="標楷體"/>
              </w:rPr>
              <w:t>不一定要婚姻，</w:t>
            </w:r>
            <w:proofErr w:type="gramStart"/>
            <w:r w:rsidRPr="00F02641">
              <w:rPr>
                <w:rFonts w:eastAsia="標楷體"/>
              </w:rPr>
              <w:t>但須可選擇</w:t>
            </w:r>
            <w:proofErr w:type="gramEnd"/>
            <w:r w:rsidRPr="00F02641">
              <w:rPr>
                <w:rFonts w:eastAsia="標楷體"/>
              </w:rPr>
              <w:t>：同志親密關係中的承諾</w:t>
            </w:r>
          </w:p>
          <w:p w:rsidR="000C67FA" w:rsidRPr="00F02641" w:rsidRDefault="000C67FA" w:rsidP="000C67FA">
            <w:pPr>
              <w:numPr>
                <w:ilvl w:val="0"/>
                <w:numId w:val="6"/>
              </w:numPr>
              <w:spacing w:line="300" w:lineRule="exact"/>
              <w:rPr>
                <w:rFonts w:eastAsia="標楷體"/>
              </w:rPr>
            </w:pPr>
            <w:r w:rsidRPr="00F02641">
              <w:rPr>
                <w:rFonts w:eastAsia="標楷體"/>
              </w:rPr>
              <w:t></w:t>
            </w:r>
            <w:r w:rsidRPr="00F02641">
              <w:rPr>
                <w:rFonts w:eastAsia="標楷體"/>
              </w:rPr>
              <w:tab/>
            </w:r>
            <w:proofErr w:type="gramStart"/>
            <w:r w:rsidRPr="00F02641">
              <w:rPr>
                <w:rFonts w:eastAsia="標楷體"/>
              </w:rPr>
              <w:t>飄浪酷兒</w:t>
            </w:r>
            <w:proofErr w:type="gramEnd"/>
            <w:r w:rsidRPr="00F02641">
              <w:rPr>
                <w:rFonts w:eastAsia="標楷體"/>
              </w:rPr>
              <w:t>：穿梭在短期停留簽中重組親密生活</w:t>
            </w:r>
          </w:p>
          <w:p w:rsidR="000C67FA" w:rsidRPr="00F02641" w:rsidRDefault="000C67FA" w:rsidP="000C67FA">
            <w:pPr>
              <w:numPr>
                <w:ilvl w:val="0"/>
                <w:numId w:val="6"/>
              </w:numPr>
              <w:spacing w:line="300" w:lineRule="exact"/>
              <w:rPr>
                <w:rFonts w:eastAsia="標楷體"/>
              </w:rPr>
            </w:pPr>
            <w:r w:rsidRPr="00F02641">
              <w:rPr>
                <w:rFonts w:eastAsia="標楷體"/>
              </w:rPr>
              <w:t></w:t>
            </w:r>
            <w:r w:rsidRPr="00F02641">
              <w:rPr>
                <w:rFonts w:eastAsia="標楷體"/>
              </w:rPr>
              <w:tab/>
            </w:r>
            <w:r w:rsidRPr="00F02641">
              <w:rPr>
                <w:rFonts w:eastAsia="標楷體"/>
              </w:rPr>
              <w:t>你／妳單身嗎？何謂</w:t>
            </w:r>
            <w:r w:rsidRPr="00F02641">
              <w:rPr>
                <w:rFonts w:eastAsia="標楷體"/>
              </w:rPr>
              <w:t xml:space="preserve"> LIVING APART TOGETHER RELATIONSHIPS</w:t>
            </w:r>
            <w:r w:rsidRPr="00F02641">
              <w:rPr>
                <w:rFonts w:eastAsia="標楷體"/>
              </w:rPr>
              <w:t>（</w:t>
            </w:r>
            <w:r w:rsidRPr="00F02641">
              <w:rPr>
                <w:rFonts w:eastAsia="標楷體"/>
              </w:rPr>
              <w:t>LAT</w:t>
            </w:r>
            <w:r w:rsidRPr="00F02641">
              <w:rPr>
                <w:rFonts w:eastAsia="標楷體"/>
              </w:rPr>
              <w:t>）：老年生活之新家庭模式</w:t>
            </w:r>
          </w:p>
        </w:tc>
      </w:tr>
    </w:tbl>
    <w:p w:rsidR="000C67FA" w:rsidRPr="00F02641" w:rsidRDefault="000C67FA" w:rsidP="000C67FA">
      <w:pPr>
        <w:spacing w:line="300" w:lineRule="exact"/>
        <w:ind w:left="540" w:hangingChars="225" w:hanging="540"/>
        <w:rPr>
          <w:rFonts w:eastAsia="標楷體"/>
        </w:rPr>
      </w:pPr>
      <w:r w:rsidRPr="00F02641">
        <w:rPr>
          <w:rFonts w:eastAsia="標楷體"/>
        </w:rPr>
        <w:t>成令方，（</w:t>
      </w:r>
      <w:r w:rsidRPr="00F02641">
        <w:rPr>
          <w:rFonts w:eastAsia="標楷體"/>
        </w:rPr>
        <w:t>2001</w:t>
      </w:r>
      <w:r w:rsidRPr="00F02641">
        <w:rPr>
          <w:rFonts w:eastAsia="標楷體"/>
        </w:rPr>
        <w:t>），</w:t>
      </w:r>
      <w:proofErr w:type="gramStart"/>
      <w:r w:rsidRPr="00F02641">
        <w:rPr>
          <w:rFonts w:eastAsia="標楷體"/>
        </w:rPr>
        <w:t>〈</w:t>
      </w:r>
      <w:proofErr w:type="gramEnd"/>
      <w:r w:rsidRPr="00F02641">
        <w:rPr>
          <w:rFonts w:eastAsia="標楷體"/>
        </w:rPr>
        <w:t>性別，天生？裝扮？－評論二本書：《男裝扮終生》和《性別天生》〉，誠品好讀，</w:t>
      </w:r>
      <w:r w:rsidRPr="00F02641">
        <w:rPr>
          <w:rFonts w:eastAsia="標楷體"/>
        </w:rPr>
        <w:t>2001</w:t>
      </w:r>
      <w:r w:rsidRPr="00F02641">
        <w:rPr>
          <w:rFonts w:eastAsia="標楷體"/>
        </w:rPr>
        <w:t>年</w:t>
      </w:r>
      <w:r w:rsidRPr="00F02641">
        <w:rPr>
          <w:rFonts w:eastAsia="標楷體"/>
        </w:rPr>
        <w:t>11</w:t>
      </w:r>
      <w:r w:rsidRPr="00F02641">
        <w:rPr>
          <w:rFonts w:eastAsia="標楷體"/>
        </w:rPr>
        <w:t>月。</w:t>
      </w:r>
      <w:r w:rsidRPr="00F02641">
        <w:rPr>
          <w:rFonts w:eastAsia="標楷體"/>
        </w:rPr>
        <w:fldChar w:fldCharType="begin"/>
      </w:r>
      <w:r w:rsidRPr="00F02641">
        <w:rPr>
          <w:rFonts w:eastAsia="標楷體"/>
        </w:rPr>
        <w:instrText xml:space="preserve"> HYPERLINK "http://lingfang.dlearn.kmu.edu.tw/feeling/gen.pdf" </w:instrText>
      </w:r>
      <w:r w:rsidRPr="00F02641">
        <w:rPr>
          <w:rFonts w:eastAsia="標楷體"/>
        </w:rPr>
        <w:fldChar w:fldCharType="separate"/>
      </w:r>
      <w:r w:rsidRPr="00F02641">
        <w:rPr>
          <w:rStyle w:val="a3"/>
          <w:rFonts w:eastAsia="標楷體"/>
        </w:rPr>
        <w:t>http://lingfang.dlearn.kmu.edu.tw/feeling/gen.pdf</w:t>
      </w:r>
      <w:r w:rsidRPr="00F02641">
        <w:rPr>
          <w:rFonts w:eastAsia="標楷體"/>
        </w:rPr>
        <w:fldChar w:fldCharType="end"/>
      </w:r>
    </w:p>
    <w:p w:rsidR="000C67FA" w:rsidRPr="00F02641" w:rsidRDefault="000C67FA" w:rsidP="000C67FA">
      <w:pPr>
        <w:spacing w:line="300" w:lineRule="exact"/>
        <w:ind w:left="540" w:hangingChars="225" w:hanging="540"/>
        <w:rPr>
          <w:rFonts w:eastAsia="標楷體"/>
          <w:shd w:val="pct15" w:color="auto" w:fill="FFFFFF"/>
        </w:rPr>
      </w:pPr>
      <w:proofErr w:type="gramStart"/>
      <w:r w:rsidRPr="00F02641">
        <w:rPr>
          <w:rFonts w:eastAsia="標楷體"/>
          <w:shd w:val="pct15" w:color="auto" w:fill="FFFFFF"/>
        </w:rPr>
        <w:t>俞智敏等譯</w:t>
      </w:r>
      <w:proofErr w:type="gramEnd"/>
      <w:r w:rsidRPr="00F02641">
        <w:rPr>
          <w:rFonts w:eastAsia="標楷體"/>
          <w:shd w:val="pct15" w:color="auto" w:fill="FFFFFF"/>
        </w:rPr>
        <w:t>，（</w:t>
      </w:r>
      <w:r w:rsidRPr="00F02641">
        <w:rPr>
          <w:rFonts w:eastAsia="標楷體"/>
          <w:shd w:val="pct15" w:color="auto" w:fill="FFFFFF"/>
        </w:rPr>
        <w:t>1996</w:t>
      </w:r>
      <w:r w:rsidRPr="00F02641">
        <w:rPr>
          <w:rFonts w:eastAsia="標楷體"/>
          <w:shd w:val="pct15" w:color="auto" w:fill="FFFFFF"/>
        </w:rPr>
        <w:t>）。第</w:t>
      </w:r>
      <w:r w:rsidRPr="00F02641">
        <w:rPr>
          <w:rFonts w:eastAsia="標楷體"/>
          <w:shd w:val="pct15" w:color="auto" w:fill="FFFFFF"/>
        </w:rPr>
        <w:t>1</w:t>
      </w:r>
      <w:r w:rsidRPr="00F02641">
        <w:rPr>
          <w:rFonts w:eastAsia="標楷體"/>
          <w:shd w:val="pct15" w:color="auto" w:fill="FFFFFF"/>
        </w:rPr>
        <w:t>章導論，</w:t>
      </w:r>
      <w:r w:rsidRPr="00F02641">
        <w:rPr>
          <w:rFonts w:eastAsia="標楷體"/>
          <w:b/>
          <w:shd w:val="pct15" w:color="auto" w:fill="FFFFFF"/>
        </w:rPr>
        <w:t>女性主義觀點的社會學</w:t>
      </w:r>
      <w:r w:rsidRPr="00F02641">
        <w:rPr>
          <w:rFonts w:eastAsia="標楷體"/>
          <w:shd w:val="pct15" w:color="auto" w:fill="FFFFFF"/>
        </w:rPr>
        <w:t>。台北：巨流。（</w:t>
      </w:r>
      <w:r w:rsidRPr="00F02641">
        <w:rPr>
          <w:rFonts w:eastAsia="標楷體"/>
          <w:shd w:val="pct15" w:color="auto" w:fill="FFFFFF"/>
        </w:rPr>
        <w:t>Pamela Abbott &amp; Claire Wallace</w:t>
      </w:r>
      <w:r w:rsidRPr="00F02641">
        <w:rPr>
          <w:rFonts w:eastAsia="標楷體"/>
          <w:shd w:val="pct15" w:color="auto" w:fill="FFFFFF"/>
        </w:rPr>
        <w:t>原著）</w:t>
      </w:r>
    </w:p>
    <w:p w:rsidR="000C67FA" w:rsidRPr="00F02641" w:rsidRDefault="000C67FA" w:rsidP="000C67FA">
      <w:pPr>
        <w:spacing w:line="300" w:lineRule="exact"/>
        <w:ind w:left="540" w:hangingChars="225" w:hanging="540"/>
        <w:rPr>
          <w:rFonts w:eastAsia="標楷體"/>
          <w:shd w:val="pct15" w:color="auto" w:fill="FFFFFF"/>
        </w:rPr>
      </w:pPr>
      <w:r w:rsidRPr="00F02641">
        <w:rPr>
          <w:rFonts w:eastAsia="標楷體"/>
          <w:shd w:val="pct15" w:color="auto" w:fill="FFFFFF"/>
        </w:rPr>
        <w:t>Allan G. Johnson</w:t>
      </w:r>
      <w:r w:rsidRPr="00F02641">
        <w:rPr>
          <w:rFonts w:eastAsia="標楷體"/>
          <w:shd w:val="pct15" w:color="auto" w:fill="FFFFFF"/>
        </w:rPr>
        <w:t>原著，成令方等譯，（</w:t>
      </w:r>
      <w:r w:rsidRPr="00F02641">
        <w:rPr>
          <w:rFonts w:eastAsia="標楷體"/>
          <w:shd w:val="pct15" w:color="auto" w:fill="FFFFFF"/>
        </w:rPr>
        <w:t>2003</w:t>
      </w:r>
      <w:r w:rsidRPr="00F02641">
        <w:rPr>
          <w:rFonts w:eastAsia="標楷體"/>
          <w:shd w:val="pct15" w:color="auto" w:fill="FFFFFF"/>
        </w:rPr>
        <w:t>）。第</w:t>
      </w:r>
      <w:r w:rsidRPr="00F02641">
        <w:rPr>
          <w:rFonts w:eastAsia="標楷體"/>
          <w:shd w:val="pct15" w:color="auto" w:fill="FFFFFF"/>
        </w:rPr>
        <w:t>1</w:t>
      </w:r>
      <w:r w:rsidRPr="00F02641">
        <w:rPr>
          <w:rFonts w:eastAsia="標楷體"/>
          <w:shd w:val="pct15" w:color="auto" w:fill="FFFFFF"/>
        </w:rPr>
        <w:t>章</w:t>
      </w:r>
      <w:r w:rsidRPr="00F02641">
        <w:rPr>
          <w:rFonts w:eastAsia="標楷體"/>
          <w:shd w:val="pct15" w:color="auto" w:fill="FFFFFF"/>
        </w:rPr>
        <w:t xml:space="preserve"> </w:t>
      </w:r>
      <w:r w:rsidRPr="00F02641">
        <w:rPr>
          <w:rFonts w:eastAsia="標楷體"/>
          <w:shd w:val="pct15" w:color="auto" w:fill="FFFFFF"/>
        </w:rPr>
        <w:t>森林、樹群、還有那件事，第</w:t>
      </w:r>
      <w:r w:rsidRPr="00F02641">
        <w:rPr>
          <w:rFonts w:eastAsia="標楷體"/>
          <w:shd w:val="pct15" w:color="auto" w:fill="FFFFFF"/>
        </w:rPr>
        <w:t>2</w:t>
      </w:r>
      <w:r w:rsidRPr="00F02641">
        <w:rPr>
          <w:rFonts w:eastAsia="標楷體"/>
          <w:shd w:val="pct15" w:color="auto" w:fill="FFFFFF"/>
        </w:rPr>
        <w:t>章</w:t>
      </w:r>
      <w:r w:rsidRPr="00F02641">
        <w:rPr>
          <w:rFonts w:eastAsia="標楷體"/>
          <w:shd w:val="pct15" w:color="auto" w:fill="FFFFFF"/>
        </w:rPr>
        <w:t xml:space="preserve"> </w:t>
      </w:r>
      <w:r w:rsidRPr="00F02641">
        <w:rPr>
          <w:rFonts w:eastAsia="標楷體"/>
          <w:shd w:val="pct15" w:color="auto" w:fill="FFFFFF"/>
        </w:rPr>
        <w:t>文化－符號、觀念和生活的種種，第</w:t>
      </w:r>
      <w:r w:rsidRPr="00F02641">
        <w:rPr>
          <w:rFonts w:eastAsia="標楷體"/>
          <w:shd w:val="pct15" w:color="auto" w:fill="FFFFFF"/>
        </w:rPr>
        <w:t>3</w:t>
      </w:r>
      <w:r w:rsidRPr="00F02641">
        <w:rPr>
          <w:rFonts w:eastAsia="標楷體"/>
          <w:shd w:val="pct15" w:color="auto" w:fill="FFFFFF"/>
        </w:rPr>
        <w:t>章</w:t>
      </w:r>
      <w:r w:rsidRPr="00F02641">
        <w:rPr>
          <w:rFonts w:eastAsia="標楷體"/>
          <w:shd w:val="pct15" w:color="auto" w:fill="FFFFFF"/>
        </w:rPr>
        <w:t xml:space="preserve"> </w:t>
      </w:r>
      <w:r w:rsidRPr="00F02641">
        <w:rPr>
          <w:rFonts w:eastAsia="標楷體"/>
          <w:shd w:val="pct15" w:color="auto" w:fill="FFFFFF"/>
        </w:rPr>
        <w:t>社會生活的結構。</w:t>
      </w:r>
      <w:r w:rsidRPr="00F02641">
        <w:rPr>
          <w:rFonts w:eastAsia="標楷體"/>
          <w:b/>
          <w:shd w:val="pct15" w:color="auto" w:fill="FFFFFF"/>
        </w:rPr>
        <w:t>見樹又見林：社會學作為一種生活、實踐與承諾</w:t>
      </w:r>
      <w:r w:rsidRPr="00F02641">
        <w:rPr>
          <w:rFonts w:eastAsia="標楷體"/>
          <w:shd w:val="pct15" w:color="auto" w:fill="FFFFFF"/>
        </w:rPr>
        <w:t>【二版】，台北：群學。</w:t>
      </w:r>
    </w:p>
    <w:p w:rsidR="000C67FA" w:rsidRPr="00F02641" w:rsidRDefault="000C67FA" w:rsidP="000C67FA">
      <w:pPr>
        <w:spacing w:line="300" w:lineRule="exact"/>
        <w:ind w:left="540" w:hangingChars="225" w:hanging="540"/>
        <w:rPr>
          <w:rFonts w:eastAsia="標楷體"/>
        </w:rPr>
      </w:pPr>
      <w:r w:rsidRPr="00F02641">
        <w:rPr>
          <w:rFonts w:eastAsia="標楷體"/>
        </w:rPr>
        <w:t>***</w:t>
      </w:r>
    </w:p>
    <w:p w:rsidR="000C67FA" w:rsidRPr="00F02641" w:rsidRDefault="000C67FA" w:rsidP="000C67FA">
      <w:pPr>
        <w:spacing w:line="300" w:lineRule="exact"/>
        <w:ind w:left="540" w:hangingChars="225" w:hanging="540"/>
        <w:rPr>
          <w:rFonts w:eastAsia="標楷體"/>
        </w:rPr>
      </w:pPr>
      <w:bookmarkStart w:id="2" w:name="_Hlk47983301"/>
      <w:r w:rsidRPr="00F02641">
        <w:rPr>
          <w:rFonts w:eastAsia="標楷體"/>
        </w:rPr>
        <w:t xml:space="preserve">Wharton, A. S. (2005). Introduction to the sociology of gender. Pp.1-21 in </w:t>
      </w:r>
      <w:r w:rsidRPr="00F02641">
        <w:rPr>
          <w:rFonts w:eastAsia="標楷體"/>
          <w:i/>
        </w:rPr>
        <w:t>The sociology of gender: An introduction to theory and research</w:t>
      </w:r>
      <w:r w:rsidRPr="00F02641">
        <w:rPr>
          <w:rFonts w:eastAsia="標楷體"/>
        </w:rPr>
        <w:t>. Malden: Blackwell, 2nd Edition.</w:t>
      </w:r>
    </w:p>
    <w:p w:rsidR="000C67FA" w:rsidRPr="00F02641" w:rsidRDefault="000C67FA" w:rsidP="000C67FA">
      <w:pPr>
        <w:spacing w:line="300" w:lineRule="exact"/>
        <w:ind w:left="540" w:hangingChars="225" w:hanging="540"/>
        <w:rPr>
          <w:rFonts w:eastAsia="標楷體"/>
        </w:rPr>
      </w:pPr>
      <w:r w:rsidRPr="00F02641">
        <w:rPr>
          <w:rFonts w:eastAsia="標楷體"/>
        </w:rPr>
        <w:t>曾</w:t>
      </w:r>
      <w:proofErr w:type="gramStart"/>
      <w:r w:rsidRPr="00F02641">
        <w:rPr>
          <w:rFonts w:eastAsia="標楷體"/>
        </w:rPr>
        <w:t>嬿</w:t>
      </w:r>
      <w:proofErr w:type="gramEnd"/>
      <w:r w:rsidRPr="00F02641">
        <w:rPr>
          <w:rFonts w:eastAsia="標楷體"/>
        </w:rPr>
        <w:t>芬等，（</w:t>
      </w:r>
      <w:r w:rsidRPr="00F02641">
        <w:rPr>
          <w:rFonts w:eastAsia="標楷體"/>
        </w:rPr>
        <w:t>2004</w:t>
      </w:r>
      <w:r w:rsidRPr="00F02641">
        <w:rPr>
          <w:rFonts w:eastAsia="標楷體"/>
        </w:rPr>
        <w:t>）。檢視社會學教科書：女性主義的觀點。</w:t>
      </w:r>
      <w:r w:rsidRPr="00F02641">
        <w:rPr>
          <w:rFonts w:eastAsia="標楷體"/>
          <w:b/>
        </w:rPr>
        <w:t>女學學</w:t>
      </w:r>
      <w:proofErr w:type="gramStart"/>
      <w:r w:rsidRPr="00F02641">
        <w:rPr>
          <w:rFonts w:eastAsia="標楷體"/>
          <w:b/>
        </w:rPr>
        <w:t>誌</w:t>
      </w:r>
      <w:proofErr w:type="gramEnd"/>
      <w:r w:rsidRPr="00F02641">
        <w:rPr>
          <w:rFonts w:eastAsia="標楷體"/>
          <w:b/>
        </w:rPr>
        <w:t>：婦女與性別研究，</w:t>
      </w:r>
      <w:r w:rsidRPr="00F02641">
        <w:rPr>
          <w:rFonts w:eastAsia="標楷體"/>
          <w:b/>
        </w:rPr>
        <w:t>17</w:t>
      </w:r>
      <w:r w:rsidRPr="00F02641">
        <w:rPr>
          <w:rFonts w:eastAsia="標楷體"/>
        </w:rPr>
        <w:t>：</w:t>
      </w:r>
      <w:r w:rsidRPr="00F02641">
        <w:rPr>
          <w:rFonts w:eastAsia="標楷體"/>
        </w:rPr>
        <w:t>85-157</w:t>
      </w:r>
      <w:r w:rsidRPr="00F02641">
        <w:rPr>
          <w:rFonts w:eastAsia="標楷體"/>
        </w:rPr>
        <w:t>。</w:t>
      </w:r>
    </w:p>
    <w:p w:rsidR="000C67FA" w:rsidRPr="00F02641" w:rsidRDefault="000C67FA" w:rsidP="000C67FA">
      <w:pPr>
        <w:spacing w:line="300" w:lineRule="exact"/>
        <w:ind w:left="540" w:hangingChars="225" w:hanging="540"/>
        <w:rPr>
          <w:rFonts w:eastAsia="標楷體"/>
        </w:rPr>
      </w:pPr>
      <w:r w:rsidRPr="00F02641">
        <w:rPr>
          <w:rFonts w:eastAsia="標楷體"/>
        </w:rPr>
        <w:t>藍佩嘉，（</w:t>
      </w:r>
      <w:r w:rsidRPr="00F02641">
        <w:rPr>
          <w:rFonts w:eastAsia="標楷體"/>
        </w:rPr>
        <w:t>2008</w:t>
      </w:r>
      <w:r w:rsidRPr="00F02641">
        <w:rPr>
          <w:rFonts w:eastAsia="標楷體"/>
        </w:rPr>
        <w:t>）。性別社會學在台灣，</w:t>
      </w:r>
      <w:proofErr w:type="gramStart"/>
      <w:r w:rsidRPr="00F02641">
        <w:rPr>
          <w:rFonts w:eastAsia="標楷體"/>
          <w:b/>
        </w:rPr>
        <w:t>群學爭鳴</w:t>
      </w:r>
      <w:proofErr w:type="gramEnd"/>
      <w:r w:rsidRPr="00F02641">
        <w:rPr>
          <w:rFonts w:eastAsia="標楷體"/>
          <w:b/>
        </w:rPr>
        <w:t>－台灣社會學發展史</w:t>
      </w:r>
      <w:r w:rsidRPr="00F02641">
        <w:rPr>
          <w:rFonts w:eastAsia="標楷體"/>
          <w:b/>
        </w:rPr>
        <w:t>1945-2005</w:t>
      </w:r>
      <w:r w:rsidRPr="00F02641">
        <w:rPr>
          <w:rFonts w:eastAsia="標楷體"/>
        </w:rPr>
        <w:t>。台北：</w:t>
      </w:r>
      <w:proofErr w:type="gramStart"/>
      <w:r w:rsidRPr="00F02641">
        <w:rPr>
          <w:rFonts w:eastAsia="標楷體"/>
        </w:rPr>
        <w:t>群學</w:t>
      </w:r>
      <w:proofErr w:type="gramEnd"/>
      <w:r w:rsidRPr="00F02641">
        <w:rPr>
          <w:rFonts w:eastAsia="標楷體"/>
        </w:rPr>
        <w:t>。</w:t>
      </w:r>
    </w:p>
    <w:p w:rsidR="000C67FA" w:rsidRPr="00F02641" w:rsidRDefault="000C67FA" w:rsidP="000C67FA">
      <w:pPr>
        <w:spacing w:line="300" w:lineRule="exact"/>
        <w:ind w:left="540" w:hangingChars="225" w:hanging="540"/>
        <w:rPr>
          <w:rFonts w:eastAsia="標楷體"/>
        </w:rPr>
      </w:pPr>
    </w:p>
    <w:bookmarkEnd w:id="2"/>
    <w:p w:rsidR="000C67FA" w:rsidRPr="00F02641" w:rsidRDefault="000C67FA" w:rsidP="000C67FA">
      <w:pPr>
        <w:numPr>
          <w:ilvl w:val="0"/>
          <w:numId w:val="4"/>
        </w:numPr>
        <w:spacing w:line="300" w:lineRule="exact"/>
        <w:rPr>
          <w:rFonts w:eastAsia="標楷體"/>
        </w:rPr>
      </w:pPr>
      <w:r w:rsidRPr="00F02641">
        <w:rPr>
          <w:rFonts w:eastAsia="標楷體"/>
        </w:rPr>
        <w:t>基本概念澄清（</w:t>
      </w:r>
      <w:r w:rsidRPr="00F02641">
        <w:rPr>
          <w:rFonts w:eastAsia="標楷體"/>
        </w:rPr>
        <w:t>3/14</w:t>
      </w:r>
      <w:r w:rsidRPr="00F02641">
        <w:rPr>
          <w:rFonts w:eastAsia="標楷體"/>
        </w:rPr>
        <w:t>）（</w:t>
      </w:r>
      <w:r w:rsidRPr="00F02641">
        <w:rPr>
          <w:rFonts w:eastAsia="標楷體"/>
        </w:rPr>
        <w:t>3/21</w:t>
      </w:r>
      <w:r w:rsidRPr="00F02641">
        <w:rPr>
          <w:rFonts w:eastAsia="標楷體"/>
        </w:rPr>
        <w:t>）</w:t>
      </w:r>
    </w:p>
    <w:p w:rsidR="000C67FA" w:rsidRPr="00F02641" w:rsidRDefault="000C67FA" w:rsidP="000C67FA">
      <w:pPr>
        <w:spacing w:line="300" w:lineRule="exact"/>
        <w:rPr>
          <w:rFonts w:eastAsia="標楷體"/>
        </w:rPr>
      </w:pPr>
      <w:r w:rsidRPr="00F02641">
        <w:rPr>
          <w:rFonts w:eastAsia="標楷體"/>
        </w:rPr>
        <w:t>（</w:t>
      </w:r>
      <w:r w:rsidRPr="00F02641">
        <w:rPr>
          <w:rFonts w:eastAsia="標楷體"/>
        </w:rPr>
        <w:t>3/14</w:t>
      </w:r>
      <w:r w:rsidRPr="00F02641">
        <w:rPr>
          <w:rFonts w:eastAsia="標楷體"/>
        </w:rPr>
        <w:t>）</w:t>
      </w:r>
    </w:p>
    <w:p w:rsidR="000C67FA" w:rsidRPr="00F02641" w:rsidRDefault="000C67FA" w:rsidP="000C67FA">
      <w:pPr>
        <w:ind w:left="540" w:hangingChars="225" w:hanging="540"/>
        <w:jc w:val="both"/>
        <w:rPr>
          <w:rFonts w:eastAsia="標楷體"/>
          <w:shd w:val="pct15" w:color="auto" w:fill="FFFFFF"/>
        </w:rPr>
      </w:pPr>
      <w:r w:rsidRPr="00F02641">
        <w:rPr>
          <w:rFonts w:eastAsia="標楷體"/>
          <w:shd w:val="pct15" w:color="auto" w:fill="FFFFFF"/>
        </w:rPr>
        <w:t>游美惠，（</w:t>
      </w:r>
      <w:r w:rsidRPr="00F02641">
        <w:rPr>
          <w:rFonts w:eastAsia="標楷體"/>
          <w:shd w:val="pct15" w:color="auto" w:fill="FFFFFF"/>
        </w:rPr>
        <w:t>2014</w:t>
      </w:r>
      <w:r w:rsidRPr="00F02641">
        <w:rPr>
          <w:rFonts w:eastAsia="標楷體"/>
          <w:shd w:val="pct15" w:color="auto" w:fill="FFFFFF"/>
        </w:rPr>
        <w:t>）。性別歧視／性別主義</w:t>
      </w:r>
      <w:r w:rsidRPr="00F02641">
        <w:rPr>
          <w:rFonts w:eastAsia="標楷體"/>
          <w:shd w:val="pct15" w:color="auto" w:fill="FFFFFF"/>
        </w:rPr>
        <w:t xml:space="preserve"> &amp; </w:t>
      </w:r>
      <w:r w:rsidRPr="00F02641">
        <w:rPr>
          <w:rFonts w:eastAsia="標楷體"/>
          <w:shd w:val="pct15" w:color="auto" w:fill="FFFFFF"/>
        </w:rPr>
        <w:t>壓迫／性別壓迫</w:t>
      </w:r>
      <w:r w:rsidRPr="00F02641">
        <w:rPr>
          <w:rFonts w:eastAsia="標楷體"/>
          <w:shd w:val="pct15" w:color="auto" w:fill="FFFFFF"/>
        </w:rPr>
        <w:t xml:space="preserve"> &amp; </w:t>
      </w:r>
      <w:r w:rsidRPr="00F02641">
        <w:rPr>
          <w:rFonts w:eastAsia="標楷體"/>
          <w:shd w:val="pct15" w:color="auto" w:fill="FFFFFF"/>
        </w:rPr>
        <w:t>特權。</w:t>
      </w:r>
      <w:r w:rsidRPr="00F02641">
        <w:rPr>
          <w:rFonts w:eastAsia="標楷體"/>
          <w:b/>
          <w:shd w:val="pct15" w:color="auto" w:fill="FFFFFF"/>
        </w:rPr>
        <w:t>性別</w:t>
      </w:r>
      <w:proofErr w:type="gramStart"/>
      <w:r w:rsidRPr="00F02641">
        <w:rPr>
          <w:rFonts w:eastAsia="標楷體"/>
          <w:b/>
          <w:shd w:val="pct15" w:color="auto" w:fill="FFFFFF"/>
        </w:rPr>
        <w:t>教育小詞庫</w:t>
      </w:r>
      <w:proofErr w:type="gramEnd"/>
      <w:r w:rsidRPr="00F02641">
        <w:rPr>
          <w:shd w:val="pct15" w:color="auto" w:fill="FFFFFF"/>
        </w:rPr>
        <w:t>。</w:t>
      </w:r>
      <w:r w:rsidRPr="00F02641">
        <w:rPr>
          <w:rFonts w:eastAsia="標楷體"/>
          <w:shd w:val="pct15" w:color="auto" w:fill="FFFFFF"/>
        </w:rPr>
        <w:t>台北：巨流。</w:t>
      </w:r>
      <w:r w:rsidRPr="00F02641">
        <w:rPr>
          <w:rFonts w:eastAsia="標楷體"/>
          <w:shd w:val="pct15" w:color="auto" w:fill="FFFFFF"/>
        </w:rPr>
        <w:t xml:space="preserve"> </w:t>
      </w:r>
      <w:r w:rsidR="00F02641">
        <w:rPr>
          <w:rFonts w:eastAsia="標楷體" w:hint="eastAsia"/>
          <w:shd w:val="pct15" w:color="auto" w:fill="FFFFFF"/>
        </w:rPr>
        <w:t>(</w:t>
      </w:r>
      <w:r w:rsidR="00F02641">
        <w:rPr>
          <w:rFonts w:eastAsia="標楷體" w:hint="eastAsia"/>
          <w:shd w:val="pct15" w:color="auto" w:fill="FFFFFF"/>
        </w:rPr>
        <w:t>或請看</w:t>
      </w:r>
      <w:r w:rsidR="00F02641">
        <w:rPr>
          <w:rFonts w:ascii="SimSun" w:eastAsia="SimSun" w:hAnsi="SimSun" w:hint="eastAsia"/>
          <w:shd w:val="pct15" w:color="auto" w:fill="FFFFFF"/>
        </w:rPr>
        <w:t>《</w:t>
      </w:r>
      <w:r w:rsidR="00F02641">
        <w:rPr>
          <w:rFonts w:eastAsia="標楷體" w:hint="eastAsia"/>
          <w:shd w:val="pct15" w:color="auto" w:fill="FFFFFF"/>
        </w:rPr>
        <w:t>性別平等教育季刊</w:t>
      </w:r>
      <w:r w:rsidR="00F02641">
        <w:rPr>
          <w:rFonts w:ascii="SimSun" w:eastAsia="SimSun" w:hAnsi="SimSun" w:hint="eastAsia"/>
          <w:shd w:val="pct15" w:color="auto" w:fill="FFFFFF"/>
        </w:rPr>
        <w:t>》</w:t>
      </w:r>
      <w:r w:rsidR="00F02641">
        <w:rPr>
          <w:rFonts w:eastAsia="標楷體" w:hint="eastAsia"/>
          <w:shd w:val="pct15" w:color="auto" w:fill="FFFFFF"/>
        </w:rPr>
        <w:t>[</w:t>
      </w:r>
      <w:r w:rsidR="00F02641">
        <w:rPr>
          <w:rFonts w:eastAsia="標楷體" w:hint="eastAsia"/>
          <w:shd w:val="pct15" w:color="auto" w:fill="FFFFFF"/>
        </w:rPr>
        <w:t>性別</w:t>
      </w:r>
      <w:proofErr w:type="gramStart"/>
      <w:r w:rsidR="00F02641">
        <w:rPr>
          <w:rFonts w:eastAsia="標楷體" w:hint="eastAsia"/>
          <w:shd w:val="pct15" w:color="auto" w:fill="FFFFFF"/>
        </w:rPr>
        <w:t>教育小詞庫</w:t>
      </w:r>
      <w:proofErr w:type="gramEnd"/>
      <w:r w:rsidR="00F02641">
        <w:rPr>
          <w:rFonts w:eastAsia="標楷體" w:hint="eastAsia"/>
          <w:shd w:val="pct15" w:color="auto" w:fill="FFFFFF"/>
        </w:rPr>
        <w:t>]</w:t>
      </w:r>
      <w:r w:rsidR="00F02641">
        <w:rPr>
          <w:rFonts w:eastAsia="標楷體" w:hint="eastAsia"/>
          <w:shd w:val="pct15" w:color="auto" w:fill="FFFFFF"/>
        </w:rPr>
        <w:t>專欄</w:t>
      </w:r>
      <w:r w:rsidR="00F02641">
        <w:rPr>
          <w:rFonts w:eastAsia="標楷體" w:hint="eastAsia"/>
          <w:shd w:val="pct15" w:color="auto" w:fill="FFFFFF"/>
        </w:rPr>
        <w:t>)</w:t>
      </w:r>
    </w:p>
    <w:p w:rsidR="00F02641" w:rsidRPr="00F02641" w:rsidRDefault="00F02641" w:rsidP="000C67FA">
      <w:pPr>
        <w:ind w:left="540" w:hangingChars="225" w:hanging="540"/>
        <w:jc w:val="both"/>
        <w:rPr>
          <w:rFonts w:eastAsia="標楷體"/>
          <w:shd w:val="pct15" w:color="auto" w:fill="FFFFFF"/>
        </w:rPr>
      </w:pPr>
      <w:r w:rsidRPr="00F02641">
        <w:rPr>
          <w:rFonts w:eastAsia="標楷體"/>
          <w:shd w:val="pct15" w:color="auto" w:fill="FFFFFF"/>
        </w:rPr>
        <w:t>陳昭如，（</w:t>
      </w:r>
      <w:r>
        <w:rPr>
          <w:rFonts w:eastAsia="標楷體" w:hint="eastAsia"/>
          <w:shd w:val="pct15" w:color="auto" w:fill="FFFFFF"/>
        </w:rPr>
        <w:t>2015</w:t>
      </w:r>
      <w:r w:rsidRPr="00F02641">
        <w:rPr>
          <w:rFonts w:eastAsia="標楷體"/>
          <w:shd w:val="pct15" w:color="auto" w:fill="FFFFFF"/>
        </w:rPr>
        <w:t>）平等與歧視。</w:t>
      </w:r>
      <w:r w:rsidRPr="00F02641">
        <w:rPr>
          <w:rFonts w:eastAsia="標楷體"/>
          <w:b/>
          <w:shd w:val="pct15" w:color="auto" w:fill="FFFFFF"/>
        </w:rPr>
        <w:t>性別平等教育季刊，</w:t>
      </w:r>
      <w:r w:rsidRPr="00F02641">
        <w:rPr>
          <w:rFonts w:eastAsia="標楷體"/>
          <w:b/>
          <w:shd w:val="pct15" w:color="auto" w:fill="FFFFFF"/>
        </w:rPr>
        <w:t>71</w:t>
      </w:r>
      <w:r w:rsidRPr="00F02641">
        <w:rPr>
          <w:rFonts w:eastAsia="標楷體"/>
          <w:shd w:val="pct15" w:color="auto" w:fill="FFFFFF"/>
        </w:rPr>
        <w:t>：</w:t>
      </w:r>
      <w:r w:rsidRPr="00F02641">
        <w:rPr>
          <w:rFonts w:eastAsia="標楷體"/>
          <w:shd w:val="pct15" w:color="auto" w:fill="FFFFFF"/>
        </w:rPr>
        <w:t>18-23</w:t>
      </w:r>
      <w:r w:rsidRPr="00F02641">
        <w:rPr>
          <w:rFonts w:eastAsia="標楷體"/>
          <w:shd w:val="pct15" w:color="auto" w:fill="FFFFFF"/>
        </w:rPr>
        <w:t>。</w:t>
      </w:r>
    </w:p>
    <w:p w:rsidR="000C67FA" w:rsidRPr="00F02641" w:rsidRDefault="000C67FA" w:rsidP="000C67FA">
      <w:pPr>
        <w:spacing w:line="300" w:lineRule="exact"/>
        <w:ind w:left="540" w:hangingChars="225" w:hanging="540"/>
        <w:rPr>
          <w:rFonts w:eastAsia="標楷體"/>
        </w:rPr>
      </w:pPr>
      <w:r w:rsidRPr="00F02641">
        <w:rPr>
          <w:rFonts w:eastAsia="標楷體"/>
        </w:rPr>
        <w:t xml:space="preserve">Cudd, A. E. and L. E. Jones. </w:t>
      </w:r>
      <w:r w:rsidRPr="00F02641">
        <w:rPr>
          <w:rFonts w:eastAsia="標楷體"/>
        </w:rPr>
        <w:t>（</w:t>
      </w:r>
      <w:r w:rsidRPr="00F02641">
        <w:rPr>
          <w:rFonts w:eastAsia="標楷體"/>
        </w:rPr>
        <w:t>2005</w:t>
      </w:r>
      <w:r w:rsidRPr="00F02641">
        <w:rPr>
          <w:rFonts w:eastAsia="標楷體"/>
        </w:rPr>
        <w:t>）。</w:t>
      </w:r>
      <w:r w:rsidRPr="00F02641">
        <w:rPr>
          <w:rFonts w:eastAsia="標楷體"/>
        </w:rPr>
        <w:t xml:space="preserve"> Sexism. Pp.73-83 in </w:t>
      </w:r>
      <w:r w:rsidRPr="00F02641">
        <w:rPr>
          <w:rFonts w:eastAsia="標楷體"/>
          <w:i/>
        </w:rPr>
        <w:t>Feminist theory</w:t>
      </w:r>
      <w:r w:rsidRPr="00F02641">
        <w:rPr>
          <w:rFonts w:eastAsia="標楷體"/>
          <w:i/>
          <w:iCs/>
        </w:rPr>
        <w:t>: A philosophical anthology.</w:t>
      </w:r>
      <w:r w:rsidRPr="00F02641">
        <w:rPr>
          <w:rFonts w:eastAsia="標楷體"/>
        </w:rPr>
        <w:t xml:space="preserve"> Malden: Blackwell Publishing. (originally published in 2003)</w:t>
      </w:r>
    </w:p>
    <w:p w:rsidR="000C67FA" w:rsidRPr="00F02641" w:rsidRDefault="000C67FA" w:rsidP="000C67FA">
      <w:pPr>
        <w:spacing w:line="300" w:lineRule="exact"/>
        <w:ind w:left="540" w:hangingChars="225" w:hanging="540"/>
        <w:rPr>
          <w:rFonts w:eastAsia="標楷體"/>
        </w:rPr>
      </w:pPr>
      <w:r w:rsidRPr="00F02641">
        <w:rPr>
          <w:rFonts w:eastAsia="標楷體"/>
        </w:rPr>
        <w:t>Frye, M. (2005). Oppression Pp. 84-90 in</w:t>
      </w:r>
      <w:r w:rsidRPr="00F02641">
        <w:rPr>
          <w:rFonts w:eastAsia="標楷體"/>
          <w:i/>
          <w:iCs/>
        </w:rPr>
        <w:t xml:space="preserve"> </w:t>
      </w:r>
      <w:r w:rsidRPr="00F02641">
        <w:rPr>
          <w:rFonts w:eastAsia="標楷體"/>
          <w:i/>
        </w:rPr>
        <w:t>Feminist theory</w:t>
      </w:r>
      <w:r w:rsidRPr="00F02641">
        <w:rPr>
          <w:rFonts w:eastAsia="標楷體"/>
          <w:i/>
          <w:iCs/>
        </w:rPr>
        <w:t>: A philosophical anthology.</w:t>
      </w:r>
      <w:r w:rsidRPr="00F02641">
        <w:rPr>
          <w:rFonts w:eastAsia="標楷體"/>
        </w:rPr>
        <w:t xml:space="preserve"> Malden: Blackwell Publishing.  (originally published in 1983)</w:t>
      </w:r>
    </w:p>
    <w:p w:rsidR="000C67FA" w:rsidRPr="00F02641" w:rsidRDefault="000C67FA" w:rsidP="000C67FA">
      <w:pPr>
        <w:spacing w:line="300" w:lineRule="exact"/>
        <w:ind w:left="540" w:hangingChars="225" w:hanging="540"/>
        <w:rPr>
          <w:rFonts w:eastAsia="標楷體"/>
        </w:rPr>
      </w:pPr>
      <w:r w:rsidRPr="00F02641">
        <w:rPr>
          <w:rFonts w:eastAsia="標楷體"/>
        </w:rPr>
        <w:t xml:space="preserve">Young, I. M. (2005). Five faces of oppression. Pp.91-104 in </w:t>
      </w:r>
      <w:r w:rsidRPr="00F02641">
        <w:rPr>
          <w:rFonts w:eastAsia="標楷體"/>
          <w:i/>
        </w:rPr>
        <w:t>Feminist theory</w:t>
      </w:r>
      <w:r w:rsidRPr="00F02641">
        <w:rPr>
          <w:rFonts w:eastAsia="標楷體"/>
          <w:i/>
          <w:iCs/>
        </w:rPr>
        <w:t>: A philosophical anthology.</w:t>
      </w:r>
      <w:r w:rsidRPr="00F02641">
        <w:rPr>
          <w:rFonts w:eastAsia="標楷體"/>
        </w:rPr>
        <w:t xml:space="preserve"> Malden: Blackwell Publishing. (originally published in 1998)</w:t>
      </w:r>
    </w:p>
    <w:p w:rsidR="000C67FA" w:rsidRPr="00F02641" w:rsidRDefault="000C67FA" w:rsidP="000C67FA">
      <w:pPr>
        <w:spacing w:line="300" w:lineRule="exact"/>
        <w:ind w:left="540" w:hangingChars="225" w:hanging="540"/>
        <w:rPr>
          <w:rFonts w:eastAsia="標楷體"/>
        </w:rPr>
      </w:pPr>
      <w:r w:rsidRPr="00F02641">
        <w:rPr>
          <w:rFonts w:eastAsia="標楷體"/>
        </w:rPr>
        <w:t xml:space="preserve">McIntosh, P. (1988). White privilege and male privilege: A personal account of coming to see correspondences through work in women’s studies. Pp.291-299 in </w:t>
      </w:r>
      <w:r w:rsidRPr="00F02641">
        <w:rPr>
          <w:rFonts w:eastAsia="標楷體"/>
          <w:i/>
        </w:rPr>
        <w:t>Critical white studies</w:t>
      </w:r>
      <w:r w:rsidRPr="00F02641">
        <w:rPr>
          <w:rFonts w:eastAsia="標楷體"/>
        </w:rPr>
        <w:t xml:space="preserve">, </w:t>
      </w:r>
      <w:proofErr w:type="spellStart"/>
      <w:r w:rsidRPr="00F02641">
        <w:rPr>
          <w:rFonts w:eastAsia="標楷體"/>
        </w:rPr>
        <w:t>editrd</w:t>
      </w:r>
      <w:proofErr w:type="spellEnd"/>
      <w:r w:rsidRPr="00F02641">
        <w:rPr>
          <w:rFonts w:eastAsia="標楷體"/>
        </w:rPr>
        <w:t xml:space="preserve"> by R. Delgado and J. </w:t>
      </w:r>
      <w:proofErr w:type="spellStart"/>
      <w:r w:rsidRPr="00F02641">
        <w:rPr>
          <w:rFonts w:eastAsia="標楷體"/>
        </w:rPr>
        <w:t>Stefancic</w:t>
      </w:r>
      <w:proofErr w:type="spellEnd"/>
      <w:r w:rsidRPr="00F02641">
        <w:rPr>
          <w:rFonts w:eastAsia="標楷體"/>
        </w:rPr>
        <w:t>. Philadelphia: Temple Univ. Press.</w:t>
      </w:r>
    </w:p>
    <w:p w:rsidR="000C67FA" w:rsidRPr="00F02641" w:rsidRDefault="000C67FA" w:rsidP="000C67FA">
      <w:pPr>
        <w:ind w:left="540" w:hangingChars="225" w:hanging="540"/>
        <w:rPr>
          <w:rFonts w:eastAsia="標楷體"/>
        </w:rPr>
      </w:pPr>
      <w:r w:rsidRPr="00F02641">
        <w:rPr>
          <w:rFonts w:eastAsia="標楷體"/>
        </w:rPr>
        <w:t xml:space="preserve">O’Brien, J. (ed.) (2009). Privilege, Male. Encyclopedia of Gender and Society V.2: 683-685. </w:t>
      </w:r>
    </w:p>
    <w:p w:rsidR="00E855D6" w:rsidRPr="00F02641" w:rsidRDefault="000C67FA" w:rsidP="000C67FA">
      <w:pPr>
        <w:ind w:left="540" w:hangingChars="225" w:hanging="540"/>
        <w:rPr>
          <w:rFonts w:eastAsia="標楷體"/>
        </w:rPr>
      </w:pPr>
      <w:r w:rsidRPr="00F02641">
        <w:rPr>
          <w:rFonts w:eastAsia="標楷體"/>
        </w:rPr>
        <w:lastRenderedPageBreak/>
        <w:t>O’Brien, J. (ed.) (2009). Heterosexual Privilege.</w:t>
      </w:r>
      <w:r w:rsidRPr="00F02641">
        <w:rPr>
          <w:rFonts w:eastAsia="標楷體"/>
          <w:i/>
        </w:rPr>
        <w:t xml:space="preserve"> Encyclopedia of Gender and Society</w:t>
      </w:r>
      <w:r w:rsidRPr="00F02641">
        <w:rPr>
          <w:rFonts w:eastAsia="標楷體"/>
        </w:rPr>
        <w:t xml:space="preserve"> </w:t>
      </w:r>
      <w:r w:rsidRPr="00F02641">
        <w:rPr>
          <w:rFonts w:eastAsia="標楷體"/>
          <w:i/>
        </w:rPr>
        <w:t>V.1</w:t>
      </w:r>
      <w:r w:rsidRPr="00F02641">
        <w:rPr>
          <w:rFonts w:eastAsia="標楷體"/>
        </w:rPr>
        <w:t>: 418-420.</w:t>
      </w:r>
    </w:p>
    <w:p w:rsidR="000C67FA" w:rsidRPr="00F02641" w:rsidRDefault="000C67FA" w:rsidP="000C67FA">
      <w:pPr>
        <w:ind w:left="540" w:hangingChars="225" w:hanging="540"/>
        <w:rPr>
          <w:rFonts w:eastAsia="標楷體"/>
        </w:rPr>
      </w:pPr>
      <w:r w:rsidRPr="00F02641">
        <w:rPr>
          <w:rFonts w:eastAsia="標楷體"/>
          <w:bdr w:val="single" w:sz="4" w:space="0" w:color="auto"/>
        </w:rPr>
        <w:t>參與</w:t>
      </w:r>
      <w:r w:rsidRPr="00F02641">
        <w:rPr>
          <w:rFonts w:eastAsia="標楷體"/>
          <w:bdr w:val="single" w:sz="4" w:space="0" w:color="auto"/>
        </w:rPr>
        <w:t xml:space="preserve"> (3/16</w:t>
      </w:r>
      <w:r w:rsidRPr="00F02641">
        <w:rPr>
          <w:rFonts w:eastAsia="標楷體"/>
          <w:bdr w:val="single" w:sz="4" w:space="0" w:color="auto"/>
        </w:rPr>
        <w:t>，全日</w:t>
      </w:r>
      <w:r w:rsidRPr="00F02641">
        <w:rPr>
          <w:rFonts w:eastAsia="標楷體"/>
          <w:bdr w:val="single" w:sz="4" w:space="0" w:color="auto"/>
        </w:rPr>
        <w:t xml:space="preserve">) </w:t>
      </w:r>
      <w:r w:rsidRPr="00F02641">
        <w:rPr>
          <w:rFonts w:eastAsia="標楷體"/>
          <w:bdr w:val="single" w:sz="4" w:space="0" w:color="auto"/>
        </w:rPr>
        <w:t>所友回娘家活動</w:t>
      </w:r>
    </w:p>
    <w:p w:rsidR="000C67FA" w:rsidRPr="00F02641" w:rsidRDefault="000C67FA" w:rsidP="000C67FA">
      <w:pPr>
        <w:ind w:left="540" w:hangingChars="225" w:hanging="540"/>
        <w:rPr>
          <w:rFonts w:eastAsia="標楷體"/>
        </w:rPr>
      </w:pPr>
      <w:r w:rsidRPr="00F02641">
        <w:rPr>
          <w:rFonts w:eastAsia="標楷體"/>
        </w:rPr>
        <w:t>（</w:t>
      </w:r>
      <w:r w:rsidRPr="00F02641">
        <w:rPr>
          <w:rFonts w:eastAsia="標楷體"/>
        </w:rPr>
        <w:t>3/21</w:t>
      </w:r>
      <w:r w:rsidRPr="00F02641">
        <w:rPr>
          <w:rFonts w:eastAsia="標楷體"/>
        </w:rPr>
        <w:t>）</w:t>
      </w:r>
    </w:p>
    <w:p w:rsidR="000C67FA" w:rsidRPr="00F02641" w:rsidRDefault="000C67FA" w:rsidP="000C67FA">
      <w:pPr>
        <w:ind w:left="540" w:hangingChars="225" w:hanging="540"/>
        <w:rPr>
          <w:rFonts w:eastAsia="標楷體"/>
          <w:shd w:val="pct15" w:color="auto" w:fill="FFFFFF"/>
        </w:rPr>
      </w:pPr>
      <w:r w:rsidRPr="00F02641">
        <w:rPr>
          <w:rFonts w:eastAsia="標楷體"/>
          <w:shd w:val="pct15" w:color="auto" w:fill="FFFFFF"/>
        </w:rPr>
        <w:t>游美惠，（</w:t>
      </w:r>
      <w:r w:rsidRPr="00F02641">
        <w:rPr>
          <w:rFonts w:eastAsia="標楷體"/>
          <w:shd w:val="pct15" w:color="auto" w:fill="FFFFFF"/>
        </w:rPr>
        <w:t>2014</w:t>
      </w:r>
      <w:r w:rsidRPr="00F02641">
        <w:rPr>
          <w:rFonts w:eastAsia="標楷體"/>
          <w:shd w:val="pct15" w:color="auto" w:fill="FFFFFF"/>
        </w:rPr>
        <w:t>）。〈做性別〉，《性別教育小詞庫》。台北：巨流。</w:t>
      </w:r>
    </w:p>
    <w:p w:rsidR="00F02641" w:rsidRDefault="00F02641" w:rsidP="000C67FA">
      <w:pPr>
        <w:ind w:left="540" w:hangingChars="225" w:hanging="540"/>
        <w:rPr>
          <w:rFonts w:eastAsia="標楷體"/>
        </w:rPr>
      </w:pPr>
      <w:r w:rsidRPr="00F02641">
        <w:rPr>
          <w:rFonts w:eastAsia="標楷體"/>
        </w:rPr>
        <w:t>West, C., &amp; Zimmerman, D. H. (1987). Doing gender.</w:t>
      </w:r>
      <w:r w:rsidRPr="00F02641">
        <w:rPr>
          <w:rFonts w:eastAsia="標楷體"/>
          <w:i/>
        </w:rPr>
        <w:t xml:space="preserve"> Gender &amp; society, 1</w:t>
      </w:r>
      <w:r w:rsidRPr="00F02641">
        <w:rPr>
          <w:rFonts w:eastAsia="標楷體"/>
        </w:rPr>
        <w:t>(2), 125-151.</w:t>
      </w:r>
    </w:p>
    <w:p w:rsidR="000C67FA" w:rsidRPr="00F02641" w:rsidRDefault="000C67FA" w:rsidP="000C67FA">
      <w:pPr>
        <w:ind w:left="540" w:hangingChars="225" w:hanging="540"/>
        <w:rPr>
          <w:rFonts w:eastAsia="標楷體"/>
        </w:rPr>
      </w:pPr>
      <w:r w:rsidRPr="00F02641">
        <w:rPr>
          <w:rFonts w:eastAsia="標楷體"/>
        </w:rPr>
        <w:t>莊玲如、成令方（</w:t>
      </w:r>
      <w:r w:rsidRPr="00F02641">
        <w:rPr>
          <w:rFonts w:eastAsia="標楷體"/>
        </w:rPr>
        <w:t>2012</w:t>
      </w:r>
      <w:r w:rsidRPr="00F02641">
        <w:rPr>
          <w:rFonts w:eastAsia="標楷體"/>
        </w:rPr>
        <w:t>）。管理性別：陽剛職場中的女檢察官。</w:t>
      </w:r>
      <w:r w:rsidRPr="00F02641">
        <w:rPr>
          <w:rFonts w:eastAsia="標楷體"/>
          <w:b/>
        </w:rPr>
        <w:t>女學學</w:t>
      </w:r>
      <w:proofErr w:type="gramStart"/>
      <w:r w:rsidRPr="00F02641">
        <w:rPr>
          <w:rFonts w:eastAsia="標楷體"/>
          <w:b/>
        </w:rPr>
        <w:t>誌</w:t>
      </w:r>
      <w:proofErr w:type="gramEnd"/>
      <w:r w:rsidRPr="00F02641">
        <w:rPr>
          <w:rFonts w:eastAsia="標楷體"/>
          <w:b/>
        </w:rPr>
        <w:t>：婦女與性別研究，</w:t>
      </w:r>
      <w:r w:rsidRPr="00F02641">
        <w:rPr>
          <w:rFonts w:eastAsia="標楷體"/>
          <w:b/>
        </w:rPr>
        <w:t>30</w:t>
      </w:r>
      <w:r w:rsidRPr="00F02641">
        <w:rPr>
          <w:rFonts w:eastAsia="標楷體"/>
        </w:rPr>
        <w:t>，</w:t>
      </w:r>
      <w:r w:rsidRPr="00F02641">
        <w:rPr>
          <w:rFonts w:eastAsia="標楷體"/>
        </w:rPr>
        <w:t>137-186</w:t>
      </w:r>
      <w:r w:rsidRPr="00F02641">
        <w:rPr>
          <w:rFonts w:eastAsia="標楷體"/>
        </w:rPr>
        <w:t>。</w:t>
      </w:r>
    </w:p>
    <w:p w:rsidR="000C67FA" w:rsidRPr="00F02641" w:rsidRDefault="000C67FA" w:rsidP="000C67FA">
      <w:pPr>
        <w:ind w:left="540" w:hangingChars="225" w:hanging="540"/>
        <w:rPr>
          <w:rFonts w:eastAsia="標楷體"/>
        </w:rPr>
      </w:pPr>
      <w:r w:rsidRPr="00F02641">
        <w:rPr>
          <w:rFonts w:eastAsia="標楷體"/>
        </w:rPr>
        <w:t>（</w:t>
      </w:r>
      <w:r w:rsidRPr="00F02641">
        <w:rPr>
          <w:rFonts w:eastAsia="標楷體"/>
        </w:rPr>
        <w:t>4/4</w:t>
      </w:r>
      <w:r w:rsidRPr="00F02641">
        <w:rPr>
          <w:rFonts w:eastAsia="標楷體"/>
        </w:rPr>
        <w:t>）清明節放假</w:t>
      </w:r>
    </w:p>
    <w:p w:rsidR="000C67FA" w:rsidRPr="00F02641" w:rsidRDefault="000C67FA" w:rsidP="000C67FA">
      <w:pPr>
        <w:ind w:left="540" w:hangingChars="225" w:hanging="540"/>
        <w:rPr>
          <w:rFonts w:eastAsia="標楷體"/>
        </w:rPr>
      </w:pPr>
    </w:p>
    <w:p w:rsidR="000C67FA" w:rsidRPr="00F02641" w:rsidRDefault="000C67FA" w:rsidP="000C67FA">
      <w:pPr>
        <w:ind w:left="540" w:hangingChars="225" w:hanging="540"/>
        <w:rPr>
          <w:rFonts w:eastAsia="標楷體"/>
        </w:rPr>
      </w:pPr>
      <w:r w:rsidRPr="00F02641">
        <w:rPr>
          <w:rFonts w:eastAsia="標楷體"/>
        </w:rPr>
        <w:t>（四）性別關係（</w:t>
      </w:r>
      <w:r w:rsidRPr="00F02641">
        <w:rPr>
          <w:rFonts w:eastAsia="標楷體"/>
        </w:rPr>
        <w:t>3/28</w:t>
      </w:r>
      <w:r w:rsidRPr="00F02641">
        <w:rPr>
          <w:rFonts w:eastAsia="標楷體"/>
        </w:rPr>
        <w:t>）（</w:t>
      </w:r>
      <w:r w:rsidRPr="00F02641">
        <w:rPr>
          <w:rFonts w:eastAsia="標楷體"/>
        </w:rPr>
        <w:t>4/11</w:t>
      </w:r>
      <w:r w:rsidRPr="00F02641">
        <w:rPr>
          <w:rFonts w:eastAsia="標楷體"/>
        </w:rPr>
        <w:t>）（</w:t>
      </w:r>
      <w:r w:rsidRPr="00F02641">
        <w:rPr>
          <w:rFonts w:eastAsia="標楷體"/>
        </w:rPr>
        <w:t>4/18</w:t>
      </w:r>
      <w:r w:rsidRPr="00F02641">
        <w:rPr>
          <w:rFonts w:eastAsia="標楷體"/>
        </w:rPr>
        <w:t>）</w:t>
      </w:r>
    </w:p>
    <w:p w:rsidR="000C67FA" w:rsidRPr="00F02641" w:rsidRDefault="000C67FA" w:rsidP="000C67FA">
      <w:pPr>
        <w:ind w:left="540" w:hangingChars="225" w:hanging="540"/>
        <w:rPr>
          <w:rFonts w:eastAsia="標楷體"/>
        </w:rPr>
      </w:pPr>
      <w:r w:rsidRPr="00F02641">
        <w:rPr>
          <w:rFonts w:eastAsia="標楷體"/>
        </w:rPr>
        <w:t>（</w:t>
      </w:r>
      <w:r w:rsidRPr="00F02641">
        <w:rPr>
          <w:rFonts w:eastAsia="標楷體"/>
        </w:rPr>
        <w:t>3/28</w:t>
      </w:r>
      <w:r w:rsidRPr="00F02641">
        <w:rPr>
          <w:rFonts w:eastAsia="標楷體"/>
        </w:rPr>
        <w:t>）</w:t>
      </w:r>
    </w:p>
    <w:p w:rsidR="000C67FA" w:rsidRPr="00F02641" w:rsidRDefault="000C67FA" w:rsidP="009B2272">
      <w:pPr>
        <w:ind w:left="540" w:hangingChars="225" w:hanging="540"/>
        <w:rPr>
          <w:rFonts w:eastAsia="標楷體"/>
        </w:rPr>
      </w:pPr>
      <w:r w:rsidRPr="00F02641">
        <w:rPr>
          <w:rFonts w:eastAsia="標楷體"/>
          <w:shd w:val="pct15" w:color="auto" w:fill="FFFFFF"/>
        </w:rPr>
        <w:t>R. Connell</w:t>
      </w:r>
      <w:r w:rsidRPr="00F02641">
        <w:rPr>
          <w:rFonts w:eastAsia="標楷體"/>
          <w:shd w:val="pct15" w:color="auto" w:fill="FFFFFF"/>
        </w:rPr>
        <w:t>原著（</w:t>
      </w:r>
      <w:r w:rsidRPr="00F02641">
        <w:rPr>
          <w:rFonts w:eastAsia="標楷體"/>
          <w:shd w:val="pct15" w:color="auto" w:fill="FFFFFF"/>
        </w:rPr>
        <w:t>2009</w:t>
      </w:r>
      <w:r w:rsidRPr="00F02641">
        <w:rPr>
          <w:rFonts w:eastAsia="標楷體"/>
          <w:shd w:val="pct15" w:color="auto" w:fill="FFFFFF"/>
        </w:rPr>
        <w:t>），劉泗翰譯，（</w:t>
      </w:r>
      <w:r w:rsidRPr="00F02641">
        <w:rPr>
          <w:rFonts w:eastAsia="標楷體"/>
          <w:shd w:val="pct15" w:color="auto" w:fill="FFFFFF"/>
        </w:rPr>
        <w:t>2011</w:t>
      </w:r>
      <w:r w:rsidRPr="00F02641">
        <w:rPr>
          <w:rFonts w:eastAsia="標楷體"/>
          <w:shd w:val="pct15" w:color="auto" w:fill="FFFFFF"/>
        </w:rPr>
        <w:t>）。</w:t>
      </w:r>
      <w:r w:rsidRPr="00F02641">
        <w:rPr>
          <w:rFonts w:eastAsia="標楷體"/>
          <w:b/>
          <w:shd w:val="pct15" w:color="auto" w:fill="FFFFFF"/>
        </w:rPr>
        <w:t>性別的世界觀</w:t>
      </w:r>
      <w:r w:rsidRPr="00F02641">
        <w:rPr>
          <w:rFonts w:eastAsia="標楷體"/>
          <w:shd w:val="pct15" w:color="auto" w:fill="FFFFFF"/>
        </w:rPr>
        <w:t>（</w:t>
      </w:r>
      <w:r w:rsidRPr="00F02641">
        <w:rPr>
          <w:rFonts w:eastAsia="標楷體"/>
          <w:i/>
          <w:shd w:val="pct15" w:color="auto" w:fill="FFFFFF"/>
        </w:rPr>
        <w:t>Gender in world perspective</w:t>
      </w:r>
      <w:r w:rsidRPr="00F02641">
        <w:rPr>
          <w:rFonts w:eastAsia="標楷體"/>
          <w:shd w:val="pct15" w:color="auto" w:fill="FFFFFF"/>
        </w:rPr>
        <w:t>）。台北：書林</w:t>
      </w:r>
      <w:r w:rsidRPr="00F02641">
        <w:rPr>
          <w:rFonts w:eastAsia="標楷體"/>
        </w:rPr>
        <w:t>。</w:t>
      </w:r>
      <w:r w:rsidR="009B2272">
        <w:rPr>
          <w:rFonts w:eastAsia="標楷體" w:hint="eastAsia"/>
        </w:rPr>
        <w:t>(</w:t>
      </w:r>
      <w:r w:rsidR="009B2272">
        <w:rPr>
          <w:rFonts w:eastAsia="標楷體" w:hint="eastAsia"/>
        </w:rPr>
        <w:t>推薦閱讀第</w:t>
      </w:r>
      <w:r w:rsidR="009B2272">
        <w:rPr>
          <w:rFonts w:eastAsia="標楷體" w:hint="eastAsia"/>
        </w:rPr>
        <w:t>1</w:t>
      </w:r>
      <w:r w:rsidR="009B2272">
        <w:rPr>
          <w:rFonts w:eastAsia="標楷體" w:hint="eastAsia"/>
        </w:rPr>
        <w:t>，</w:t>
      </w:r>
      <w:r w:rsidR="009B2272">
        <w:rPr>
          <w:rFonts w:eastAsia="標楷體" w:hint="eastAsia"/>
        </w:rPr>
        <w:t>5</w:t>
      </w:r>
      <w:r w:rsidR="009B2272">
        <w:rPr>
          <w:rFonts w:eastAsia="標楷體" w:hint="eastAsia"/>
        </w:rPr>
        <w:t>，</w:t>
      </w:r>
      <w:r w:rsidR="009B2272">
        <w:rPr>
          <w:rFonts w:eastAsia="標楷體" w:hint="eastAsia"/>
        </w:rPr>
        <w:t>6</w:t>
      </w:r>
      <w:r w:rsidR="009B2272">
        <w:rPr>
          <w:rFonts w:eastAsia="標楷體" w:hint="eastAsia"/>
        </w:rPr>
        <w:t>，</w:t>
      </w:r>
      <w:r w:rsidR="009B2272">
        <w:rPr>
          <w:rFonts w:eastAsia="標楷體" w:hint="eastAsia"/>
        </w:rPr>
        <w:t>7</w:t>
      </w:r>
      <w:r w:rsidR="009B2272">
        <w:rPr>
          <w:rFonts w:eastAsia="標楷體" w:hint="eastAsia"/>
        </w:rPr>
        <w:t>，</w:t>
      </w:r>
      <w:r w:rsidR="009B2272">
        <w:rPr>
          <w:rFonts w:eastAsia="標楷體" w:hint="eastAsia"/>
        </w:rPr>
        <w:t>8</w:t>
      </w:r>
      <w:r w:rsidR="009B2272">
        <w:rPr>
          <w:rFonts w:eastAsia="標楷體" w:hint="eastAsia"/>
        </w:rPr>
        <w:t>章</w:t>
      </w:r>
      <w:r w:rsidR="009B2272">
        <w:rPr>
          <w:rFonts w:eastAsia="標楷體" w:hint="eastAsia"/>
        </w:rPr>
        <w:t>)</w:t>
      </w:r>
    </w:p>
    <w:p w:rsidR="000C67FA" w:rsidRPr="00F02641" w:rsidRDefault="000C67FA" w:rsidP="000C67FA">
      <w:pPr>
        <w:ind w:left="540" w:hangingChars="225" w:hanging="540"/>
        <w:rPr>
          <w:rFonts w:eastAsia="標楷體"/>
        </w:rPr>
      </w:pPr>
      <w:r w:rsidRPr="00F02641">
        <w:rPr>
          <w:rFonts w:eastAsia="標楷體"/>
        </w:rPr>
        <w:t>黃郁茹，（</w:t>
      </w:r>
      <w:r w:rsidRPr="00F02641">
        <w:rPr>
          <w:rFonts w:eastAsia="標楷體"/>
        </w:rPr>
        <w:t>2010</w:t>
      </w:r>
      <w:r w:rsidRPr="00F02641">
        <w:rPr>
          <w:rFonts w:eastAsia="標楷體"/>
        </w:rPr>
        <w:t>）。校長領導與性別的權力、生產、情感、象徵關係。</w:t>
      </w:r>
      <w:r w:rsidRPr="00F02641">
        <w:rPr>
          <w:rFonts w:eastAsia="標楷體"/>
          <w:b/>
        </w:rPr>
        <w:t>性別平等教育季刊，</w:t>
      </w:r>
      <w:r w:rsidRPr="00F02641">
        <w:rPr>
          <w:rFonts w:eastAsia="標楷體"/>
          <w:b/>
        </w:rPr>
        <w:t>52</w:t>
      </w:r>
      <w:r w:rsidRPr="00F02641">
        <w:rPr>
          <w:rFonts w:eastAsia="標楷體"/>
        </w:rPr>
        <w:t>：</w:t>
      </w:r>
      <w:r w:rsidRPr="00F02641">
        <w:rPr>
          <w:rFonts w:eastAsia="標楷體"/>
        </w:rPr>
        <w:t>62-65</w:t>
      </w:r>
      <w:r w:rsidRPr="00F02641">
        <w:rPr>
          <w:rFonts w:eastAsia="標楷體"/>
        </w:rPr>
        <w:t>。</w:t>
      </w:r>
    </w:p>
    <w:p w:rsidR="000C67FA" w:rsidRPr="00F02641" w:rsidRDefault="000C67FA" w:rsidP="000C67FA">
      <w:pPr>
        <w:ind w:left="540" w:hangingChars="225" w:hanging="540"/>
        <w:rPr>
          <w:rFonts w:eastAsia="標楷體"/>
        </w:rPr>
      </w:pPr>
      <w:r w:rsidRPr="00F02641">
        <w:rPr>
          <w:rFonts w:eastAsia="標楷體"/>
        </w:rPr>
        <w:t>成令方，（</w:t>
      </w:r>
      <w:r w:rsidRPr="00F02641">
        <w:rPr>
          <w:rFonts w:eastAsia="標楷體"/>
        </w:rPr>
        <w:t>2011</w:t>
      </w:r>
      <w:r w:rsidRPr="00F02641">
        <w:rPr>
          <w:rFonts w:eastAsia="標楷體"/>
        </w:rPr>
        <w:t>）。護理職場中的性別關係，</w:t>
      </w:r>
      <w:r w:rsidRPr="00F02641">
        <w:rPr>
          <w:rFonts w:eastAsia="標楷體"/>
          <w:b/>
        </w:rPr>
        <w:t>護理雜誌，</w:t>
      </w:r>
      <w:r w:rsidRPr="00F02641">
        <w:rPr>
          <w:rFonts w:eastAsia="標楷體"/>
          <w:b/>
        </w:rPr>
        <w:t>58</w:t>
      </w:r>
      <w:r w:rsidRPr="00F02641">
        <w:rPr>
          <w:rFonts w:eastAsia="標楷體"/>
        </w:rPr>
        <w:t>（</w:t>
      </w:r>
      <w:r w:rsidRPr="00F02641">
        <w:rPr>
          <w:rFonts w:eastAsia="標楷體"/>
        </w:rPr>
        <w:t>6</w:t>
      </w:r>
      <w:r w:rsidRPr="00F02641">
        <w:rPr>
          <w:rFonts w:eastAsia="標楷體"/>
        </w:rPr>
        <w:t>）：</w:t>
      </w:r>
      <w:r w:rsidRPr="00F02641">
        <w:rPr>
          <w:rFonts w:eastAsia="標楷體"/>
        </w:rPr>
        <w:t>11-15</w:t>
      </w:r>
      <w:r w:rsidRPr="00F02641">
        <w:rPr>
          <w:rFonts w:eastAsia="標楷體"/>
        </w:rPr>
        <w:t>。</w:t>
      </w:r>
    </w:p>
    <w:p w:rsidR="000C67FA" w:rsidRPr="00F02641" w:rsidRDefault="000C67FA" w:rsidP="000C67FA">
      <w:pPr>
        <w:ind w:left="540" w:hangingChars="225" w:hanging="540"/>
        <w:rPr>
          <w:rFonts w:eastAsia="標楷體"/>
        </w:rPr>
      </w:pPr>
      <w:r w:rsidRPr="00F02641">
        <w:rPr>
          <w:rFonts w:eastAsia="標楷體"/>
        </w:rPr>
        <w:t>期中報告：性別關係實例分析書面報告（約</w:t>
      </w:r>
      <w:r w:rsidRPr="00F02641">
        <w:rPr>
          <w:rFonts w:eastAsia="標楷體"/>
        </w:rPr>
        <w:t>2500</w:t>
      </w:r>
      <w:r w:rsidRPr="00F02641">
        <w:rPr>
          <w:rFonts w:eastAsia="標楷體"/>
        </w:rPr>
        <w:t>字），</w:t>
      </w:r>
    </w:p>
    <w:p w:rsidR="000C67FA" w:rsidRPr="00F02641" w:rsidRDefault="000C67FA" w:rsidP="000C67FA">
      <w:pPr>
        <w:ind w:left="540" w:hangingChars="225" w:hanging="540"/>
        <w:rPr>
          <w:rFonts w:eastAsia="標楷體"/>
        </w:rPr>
      </w:pPr>
      <w:r w:rsidRPr="00F02641">
        <w:rPr>
          <w:rFonts w:eastAsia="標楷體"/>
        </w:rPr>
        <w:t>製作簡報檔，（</w:t>
      </w:r>
      <w:r w:rsidRPr="00F02641">
        <w:rPr>
          <w:rFonts w:eastAsia="標楷體"/>
        </w:rPr>
        <w:t>4/11</w:t>
      </w:r>
      <w:r w:rsidRPr="00F02641">
        <w:rPr>
          <w:rFonts w:eastAsia="標楷體"/>
        </w:rPr>
        <w:t>）口頭報告約</w:t>
      </w:r>
      <w:r w:rsidRPr="00F02641">
        <w:rPr>
          <w:rFonts w:eastAsia="標楷體"/>
        </w:rPr>
        <w:t>10</w:t>
      </w:r>
      <w:r w:rsidRPr="00F02641">
        <w:rPr>
          <w:rFonts w:eastAsia="標楷體"/>
        </w:rPr>
        <w:t>分鐘，</w:t>
      </w:r>
      <w:r w:rsidRPr="00F02641">
        <w:rPr>
          <w:rFonts w:eastAsia="標楷體"/>
        </w:rPr>
        <w:t xml:space="preserve"> (4/25) </w:t>
      </w:r>
      <w:r w:rsidRPr="00F02641">
        <w:rPr>
          <w:rFonts w:eastAsia="標楷體"/>
        </w:rPr>
        <w:t>繳交</w:t>
      </w:r>
      <w:r w:rsidRPr="00F02641">
        <w:rPr>
          <w:rFonts w:eastAsia="標楷體"/>
        </w:rPr>
        <w:t>[</w:t>
      </w:r>
      <w:r w:rsidRPr="00F02641">
        <w:rPr>
          <w:rFonts w:eastAsia="標楷體"/>
        </w:rPr>
        <w:t>性別關係實例分析</w:t>
      </w:r>
      <w:r w:rsidRPr="00F02641">
        <w:rPr>
          <w:rFonts w:eastAsia="標楷體"/>
        </w:rPr>
        <w:t>]</w:t>
      </w:r>
      <w:r w:rsidRPr="00F02641">
        <w:rPr>
          <w:rFonts w:eastAsia="標楷體"/>
        </w:rPr>
        <w:t>書面報告。</w:t>
      </w:r>
    </w:p>
    <w:p w:rsidR="000C67FA" w:rsidRPr="00F02641" w:rsidRDefault="000C67FA" w:rsidP="000C67FA">
      <w:pPr>
        <w:ind w:left="540" w:hangingChars="225" w:hanging="540"/>
        <w:rPr>
          <w:rFonts w:eastAsia="標楷體"/>
        </w:rPr>
      </w:pPr>
      <w:r w:rsidRPr="00F02641">
        <w:rPr>
          <w:rFonts w:eastAsia="標楷體"/>
        </w:rPr>
        <w:t>（</w:t>
      </w:r>
      <w:r w:rsidRPr="00F02641">
        <w:rPr>
          <w:rFonts w:eastAsia="標楷體"/>
        </w:rPr>
        <w:t>4/18</w:t>
      </w:r>
      <w:r w:rsidRPr="00F02641">
        <w:rPr>
          <w:rFonts w:eastAsia="標楷體"/>
        </w:rPr>
        <w:t>）課程改成參與</w:t>
      </w:r>
      <w:r w:rsidRPr="00F02641">
        <w:rPr>
          <w:rFonts w:eastAsia="標楷體"/>
        </w:rPr>
        <w:t xml:space="preserve"> (4/8</w:t>
      </w:r>
      <w:r w:rsidRPr="00F02641">
        <w:rPr>
          <w:rFonts w:eastAsia="標楷體"/>
        </w:rPr>
        <w:t>，</w:t>
      </w:r>
      <w:r w:rsidRPr="00F02641">
        <w:rPr>
          <w:rFonts w:eastAsia="標楷體"/>
        </w:rPr>
        <w:t xml:space="preserve">16:30-19:00) </w:t>
      </w:r>
      <w:r w:rsidRPr="00F02641">
        <w:rPr>
          <w:rFonts w:eastAsia="標楷體"/>
        </w:rPr>
        <w:t>尤美女律師演講</w:t>
      </w:r>
    </w:p>
    <w:p w:rsidR="000C67FA" w:rsidRPr="00F02641" w:rsidRDefault="000C67FA" w:rsidP="000C67FA">
      <w:pPr>
        <w:ind w:left="540" w:hangingChars="225" w:hanging="540"/>
        <w:rPr>
          <w:rFonts w:eastAsia="標楷體"/>
        </w:rPr>
      </w:pPr>
    </w:p>
    <w:p w:rsidR="000C67FA" w:rsidRPr="00F02641" w:rsidRDefault="000C67FA" w:rsidP="000C67FA">
      <w:pPr>
        <w:ind w:left="540" w:hangingChars="225" w:hanging="540"/>
        <w:rPr>
          <w:rFonts w:eastAsia="標楷體"/>
        </w:rPr>
      </w:pPr>
      <w:r w:rsidRPr="00F02641">
        <w:rPr>
          <w:rFonts w:eastAsia="標楷體"/>
        </w:rPr>
        <w:t>（五）分析父權體制（</w:t>
      </w:r>
      <w:r w:rsidRPr="00F02641">
        <w:rPr>
          <w:rFonts w:eastAsia="標楷體"/>
        </w:rPr>
        <w:t>4/25</w:t>
      </w:r>
      <w:r w:rsidRPr="00F02641">
        <w:rPr>
          <w:rFonts w:eastAsia="標楷體"/>
        </w:rPr>
        <w:t>）（</w:t>
      </w:r>
      <w:r w:rsidRPr="00F02641">
        <w:rPr>
          <w:rFonts w:eastAsia="標楷體"/>
        </w:rPr>
        <w:t>5/2</w:t>
      </w:r>
      <w:r w:rsidRPr="00F02641">
        <w:rPr>
          <w:rFonts w:eastAsia="標楷體"/>
        </w:rPr>
        <w:t>）（</w:t>
      </w:r>
      <w:r w:rsidRPr="00F02641">
        <w:rPr>
          <w:rFonts w:eastAsia="標楷體"/>
        </w:rPr>
        <w:t>5/9</w:t>
      </w:r>
      <w:r w:rsidRPr="00F02641">
        <w:rPr>
          <w:rFonts w:eastAsia="標楷體"/>
        </w:rPr>
        <w:t>）</w:t>
      </w:r>
    </w:p>
    <w:p w:rsidR="000C67FA" w:rsidRPr="00F02641" w:rsidRDefault="000C67FA" w:rsidP="000C67FA">
      <w:pPr>
        <w:ind w:left="540" w:hangingChars="225" w:hanging="540"/>
        <w:rPr>
          <w:rFonts w:eastAsia="標楷體"/>
        </w:rPr>
      </w:pPr>
      <w:r w:rsidRPr="00F02641">
        <w:rPr>
          <w:rFonts w:eastAsia="標楷體"/>
        </w:rPr>
        <w:t>（</w:t>
      </w:r>
      <w:r w:rsidRPr="00F02641">
        <w:rPr>
          <w:rFonts w:eastAsia="標楷體"/>
        </w:rPr>
        <w:t>4/25</w:t>
      </w:r>
      <w:r w:rsidRPr="00F02641">
        <w:rPr>
          <w:rFonts w:eastAsia="標楷體"/>
        </w:rPr>
        <w:t>）課程改成參與</w:t>
      </w:r>
      <w:r w:rsidRPr="00F02641">
        <w:rPr>
          <w:rFonts w:eastAsia="標楷體"/>
        </w:rPr>
        <w:t xml:space="preserve"> (4/24</w:t>
      </w:r>
      <w:r w:rsidRPr="00F02641">
        <w:rPr>
          <w:rFonts w:eastAsia="標楷體"/>
        </w:rPr>
        <w:t>，</w:t>
      </w:r>
      <w:r w:rsidRPr="00F02641">
        <w:rPr>
          <w:rFonts w:eastAsia="標楷體"/>
        </w:rPr>
        <w:t xml:space="preserve">12:10-14:30) </w:t>
      </w:r>
      <w:r w:rsidRPr="00F02641">
        <w:rPr>
          <w:rFonts w:eastAsia="標楷體"/>
        </w:rPr>
        <w:t>《台灣性別</w:t>
      </w:r>
      <w:r w:rsidRPr="00F02641">
        <w:rPr>
          <w:rFonts w:eastAsia="標楷體"/>
        </w:rPr>
        <w:t>100+</w:t>
      </w:r>
      <w:r w:rsidRPr="00F02641">
        <w:rPr>
          <w:rFonts w:eastAsia="標楷體"/>
        </w:rPr>
        <w:t>問》新書座談活動</w:t>
      </w:r>
      <w:r w:rsidRPr="00F02641">
        <w:rPr>
          <w:rFonts w:eastAsia="標楷體"/>
        </w:rPr>
        <w:t>(</w:t>
      </w:r>
      <w:r w:rsidRPr="00F02641">
        <w:rPr>
          <w:rFonts w:eastAsia="標楷體"/>
        </w:rPr>
        <w:t>黃長玲，李佩雯</w:t>
      </w:r>
      <w:r w:rsidRPr="00F02641">
        <w:rPr>
          <w:rFonts w:eastAsia="標楷體"/>
        </w:rPr>
        <w:t>)</w:t>
      </w:r>
    </w:p>
    <w:p w:rsidR="000C67FA" w:rsidRPr="00F02641" w:rsidRDefault="000C67FA" w:rsidP="000C67FA">
      <w:pPr>
        <w:ind w:left="540" w:hangingChars="225" w:hanging="540"/>
        <w:rPr>
          <w:rFonts w:eastAsia="標楷體"/>
        </w:rPr>
      </w:pPr>
      <w:r w:rsidRPr="00F02641">
        <w:rPr>
          <w:rFonts w:eastAsia="標楷體"/>
          <w:shd w:val="pct15" w:color="auto" w:fill="FFFFFF"/>
        </w:rPr>
        <w:t>Allan G. Johnson</w:t>
      </w:r>
      <w:r w:rsidRPr="00F02641">
        <w:rPr>
          <w:rFonts w:eastAsia="標楷體"/>
          <w:shd w:val="pct15" w:color="auto" w:fill="FFFFFF"/>
        </w:rPr>
        <w:t>原著，（</w:t>
      </w:r>
      <w:r w:rsidRPr="00F02641">
        <w:rPr>
          <w:rFonts w:eastAsia="標楷體"/>
          <w:shd w:val="pct15" w:color="auto" w:fill="FFFFFF"/>
        </w:rPr>
        <w:t>1997</w:t>
      </w:r>
      <w:r w:rsidRPr="00F02641">
        <w:rPr>
          <w:rFonts w:eastAsia="標楷體"/>
          <w:shd w:val="pct15" w:color="auto" w:fill="FFFFFF"/>
        </w:rPr>
        <w:t>），成令方、王秀雲、游美惠、邱大昕、吳嘉苓譯，（</w:t>
      </w:r>
      <w:r w:rsidRPr="00F02641">
        <w:rPr>
          <w:rFonts w:eastAsia="標楷體"/>
          <w:shd w:val="pct15" w:color="auto" w:fill="FFFFFF"/>
        </w:rPr>
        <w:t>2008</w:t>
      </w:r>
      <w:r w:rsidRPr="00F02641">
        <w:rPr>
          <w:rFonts w:eastAsia="標楷體"/>
          <w:shd w:val="pct15" w:color="auto" w:fill="FFFFFF"/>
        </w:rPr>
        <w:t>）。</w:t>
      </w:r>
      <w:r w:rsidRPr="00F02641">
        <w:rPr>
          <w:rFonts w:eastAsia="標楷體"/>
          <w:b/>
          <w:shd w:val="pct15" w:color="auto" w:fill="FFFFFF"/>
        </w:rPr>
        <w:t>性別打結：拆解父權的承傳</w:t>
      </w:r>
      <w:r w:rsidRPr="00F02641">
        <w:rPr>
          <w:rFonts w:eastAsia="標楷體"/>
          <w:shd w:val="pct15" w:color="auto" w:fill="FFFFFF"/>
        </w:rPr>
        <w:t>（</w:t>
      </w:r>
      <w:r w:rsidRPr="00F02641">
        <w:rPr>
          <w:rFonts w:eastAsia="標楷體"/>
          <w:i/>
          <w:shd w:val="pct15" w:color="auto" w:fill="FFFFFF"/>
        </w:rPr>
        <w:t>Gender knot: Unraveling our patriarchal legacy</w:t>
      </w:r>
      <w:r w:rsidRPr="00F02641">
        <w:rPr>
          <w:rFonts w:eastAsia="標楷體"/>
          <w:shd w:val="pct15" w:color="auto" w:fill="FFFFFF"/>
        </w:rPr>
        <w:t>）。台北：群學</w:t>
      </w:r>
      <w:r w:rsidRPr="00F02641">
        <w:rPr>
          <w:rFonts w:eastAsia="標楷體"/>
        </w:rPr>
        <w:t>。</w:t>
      </w:r>
    </w:p>
    <w:p w:rsidR="000C67FA" w:rsidRPr="00F02641" w:rsidRDefault="000C67FA" w:rsidP="000C67FA">
      <w:pPr>
        <w:ind w:left="540" w:hangingChars="225" w:hanging="540"/>
        <w:rPr>
          <w:rFonts w:eastAsia="標楷體"/>
        </w:rPr>
      </w:pPr>
    </w:p>
    <w:p w:rsidR="000C67FA" w:rsidRPr="00F02641" w:rsidRDefault="000C67FA" w:rsidP="000C67FA">
      <w:pPr>
        <w:ind w:left="540" w:hangingChars="225" w:hanging="540"/>
        <w:rPr>
          <w:rFonts w:eastAsia="標楷體"/>
        </w:rPr>
      </w:pPr>
      <w:r w:rsidRPr="00F02641">
        <w:rPr>
          <w:rFonts w:eastAsia="標楷體"/>
        </w:rPr>
        <w:t>(</w:t>
      </w:r>
      <w:r w:rsidRPr="00F02641">
        <w:rPr>
          <w:rFonts w:eastAsia="標楷體"/>
        </w:rPr>
        <w:t>六</w:t>
      </w:r>
      <w:r w:rsidRPr="00F02641">
        <w:rPr>
          <w:rFonts w:eastAsia="標楷體"/>
        </w:rPr>
        <w:t xml:space="preserve">) </w:t>
      </w:r>
      <w:r w:rsidRPr="00F02641">
        <w:rPr>
          <w:rFonts w:eastAsia="標楷體"/>
        </w:rPr>
        <w:t>愛情社會學專題探討（</w:t>
      </w:r>
      <w:r w:rsidRPr="00F02641">
        <w:rPr>
          <w:rFonts w:eastAsia="標楷體"/>
        </w:rPr>
        <w:t>5/16</w:t>
      </w:r>
      <w:r w:rsidRPr="00F02641">
        <w:rPr>
          <w:rFonts w:eastAsia="標楷體"/>
        </w:rPr>
        <w:t>）（</w:t>
      </w:r>
      <w:r w:rsidRPr="00F02641">
        <w:rPr>
          <w:rFonts w:eastAsia="標楷體"/>
        </w:rPr>
        <w:t>5/23</w:t>
      </w:r>
      <w:r w:rsidRPr="00F02641">
        <w:rPr>
          <w:rFonts w:eastAsia="標楷體"/>
        </w:rPr>
        <w:t>）（</w:t>
      </w:r>
      <w:r w:rsidRPr="00F02641">
        <w:rPr>
          <w:rFonts w:eastAsia="標楷體"/>
        </w:rPr>
        <w:t>5/30</w:t>
      </w:r>
      <w:r w:rsidRPr="00F02641">
        <w:rPr>
          <w:rFonts w:eastAsia="標楷體"/>
        </w:rPr>
        <w:t>）</w:t>
      </w:r>
    </w:p>
    <w:p w:rsidR="000C67FA" w:rsidRPr="00F02641" w:rsidRDefault="000C67FA" w:rsidP="000C67FA">
      <w:pPr>
        <w:ind w:left="540" w:hangingChars="225" w:hanging="540"/>
        <w:rPr>
          <w:rFonts w:eastAsia="標楷體"/>
        </w:rPr>
      </w:pPr>
      <w:r w:rsidRPr="00F02641">
        <w:rPr>
          <w:rFonts w:eastAsia="標楷體"/>
        </w:rPr>
        <w:t>張娟芬（</w:t>
      </w:r>
      <w:r w:rsidRPr="00F02641">
        <w:rPr>
          <w:rFonts w:eastAsia="標楷體"/>
        </w:rPr>
        <w:t>1999</w:t>
      </w:r>
      <w:r w:rsidRPr="00F02641">
        <w:rPr>
          <w:rFonts w:eastAsia="標楷體"/>
        </w:rPr>
        <w:t>）。「人盯人」</w:t>
      </w:r>
      <w:proofErr w:type="gramStart"/>
      <w:r w:rsidRPr="00F02641">
        <w:rPr>
          <w:rFonts w:eastAsia="標楷體"/>
        </w:rPr>
        <w:t>式的父權</w:t>
      </w:r>
      <w:proofErr w:type="gramEnd"/>
      <w:r w:rsidRPr="00F02641">
        <w:rPr>
          <w:rFonts w:eastAsia="標楷體"/>
        </w:rPr>
        <w:t>。載於顧燕翎、鄭至慧主編，</w:t>
      </w:r>
      <w:r w:rsidRPr="00F02641">
        <w:rPr>
          <w:rFonts w:eastAsia="標楷體"/>
          <w:b/>
        </w:rPr>
        <w:t>女性主義經典</w:t>
      </w:r>
      <w:r w:rsidRPr="00F02641">
        <w:rPr>
          <w:rFonts w:eastAsia="標楷體"/>
        </w:rPr>
        <w:t>。台北：女書文化。</w:t>
      </w:r>
    </w:p>
    <w:p w:rsidR="000C67FA" w:rsidRPr="00F02641" w:rsidRDefault="000C67FA" w:rsidP="000C67FA">
      <w:pPr>
        <w:ind w:left="540" w:hangingChars="225" w:hanging="540"/>
        <w:rPr>
          <w:rFonts w:eastAsia="標楷體"/>
        </w:rPr>
      </w:pPr>
      <w:r w:rsidRPr="00F02641">
        <w:rPr>
          <w:rFonts w:eastAsia="標楷體"/>
        </w:rPr>
        <w:t>游美惠（</w:t>
      </w:r>
      <w:r w:rsidRPr="00F02641">
        <w:rPr>
          <w:rFonts w:eastAsia="標楷體"/>
        </w:rPr>
        <w:t>2015</w:t>
      </w:r>
      <w:r w:rsidRPr="00F02641">
        <w:rPr>
          <w:rFonts w:eastAsia="標楷體"/>
        </w:rPr>
        <w:t>）。當親密關係遇到資本主義：情感教育的重要議題探析，出自「</w:t>
      </w:r>
      <w:r w:rsidRPr="00F02641">
        <w:rPr>
          <w:rFonts w:eastAsia="標楷體"/>
        </w:rPr>
        <w:t>Gender</w:t>
      </w:r>
      <w:r w:rsidRPr="00F02641">
        <w:rPr>
          <w:rFonts w:eastAsia="標楷體"/>
        </w:rPr>
        <w:t>在這裡</w:t>
      </w:r>
      <w:r w:rsidRPr="00F02641">
        <w:rPr>
          <w:rFonts w:eastAsia="標楷體"/>
        </w:rPr>
        <w:t>-</w:t>
      </w:r>
      <w:r w:rsidRPr="00F02641">
        <w:rPr>
          <w:rFonts w:eastAsia="標楷體"/>
        </w:rPr>
        <w:t>性別視聽分享站</w:t>
      </w:r>
      <w:r w:rsidRPr="00F02641">
        <w:rPr>
          <w:rFonts w:eastAsia="標楷體"/>
        </w:rPr>
        <w:t>-</w:t>
      </w:r>
      <w:r w:rsidRPr="00F02641">
        <w:rPr>
          <w:rFonts w:eastAsia="標楷體"/>
        </w:rPr>
        <w:t>網站</w:t>
      </w:r>
      <w:r w:rsidRPr="00F02641">
        <w:rPr>
          <w:rFonts w:eastAsia="標楷體"/>
        </w:rPr>
        <w:t>-</w:t>
      </w:r>
      <w:r w:rsidRPr="00F02641">
        <w:rPr>
          <w:rFonts w:eastAsia="標楷體"/>
        </w:rPr>
        <w:t>行政院全球資訊網」（性別筆記）</w:t>
      </w:r>
      <w:r w:rsidRPr="00F02641">
        <w:rPr>
          <w:rFonts w:eastAsia="標楷體"/>
        </w:rPr>
        <w:t>http://www.gender.ey.gov.tw/Multimedia/System/Notes/</w:t>
      </w:r>
    </w:p>
    <w:p w:rsidR="000C67FA" w:rsidRPr="00F02641" w:rsidRDefault="000C67FA" w:rsidP="000C67FA">
      <w:pPr>
        <w:ind w:left="540" w:hangingChars="225" w:hanging="540"/>
        <w:rPr>
          <w:rFonts w:eastAsia="標楷體"/>
        </w:rPr>
      </w:pPr>
      <w:r w:rsidRPr="00F02641">
        <w:rPr>
          <w:rFonts w:eastAsia="標楷體"/>
        </w:rPr>
        <w:t>游美惠（</w:t>
      </w:r>
      <w:r w:rsidRPr="00F02641">
        <w:rPr>
          <w:rFonts w:eastAsia="標楷體"/>
        </w:rPr>
        <w:t>2008</w:t>
      </w:r>
      <w:r w:rsidRPr="00F02641">
        <w:rPr>
          <w:rFonts w:eastAsia="標楷體"/>
        </w:rPr>
        <w:t>）。異性戀常規。</w:t>
      </w:r>
      <w:r w:rsidRPr="00F02641">
        <w:rPr>
          <w:rFonts w:eastAsia="標楷體"/>
          <w:b/>
        </w:rPr>
        <w:t>性別平等教育季刊，</w:t>
      </w:r>
      <w:r w:rsidRPr="00F02641">
        <w:rPr>
          <w:rFonts w:eastAsia="標楷體"/>
          <w:b/>
        </w:rPr>
        <w:t>45</w:t>
      </w:r>
      <w:r w:rsidRPr="00F02641">
        <w:rPr>
          <w:rFonts w:eastAsia="標楷體"/>
        </w:rPr>
        <w:t>：</w:t>
      </w:r>
      <w:r w:rsidRPr="00F02641">
        <w:rPr>
          <w:rFonts w:eastAsia="標楷體"/>
        </w:rPr>
        <w:t>98-101</w:t>
      </w:r>
      <w:r w:rsidRPr="00F02641">
        <w:rPr>
          <w:rFonts w:eastAsia="標楷體"/>
        </w:rPr>
        <w:t>。</w:t>
      </w:r>
    </w:p>
    <w:p w:rsidR="000C67FA" w:rsidRPr="00F02641" w:rsidRDefault="000C67FA" w:rsidP="000C67FA">
      <w:pPr>
        <w:ind w:left="540" w:hangingChars="225" w:hanging="540"/>
        <w:rPr>
          <w:rFonts w:eastAsia="標楷體"/>
        </w:rPr>
      </w:pPr>
      <w:proofErr w:type="spellStart"/>
      <w:r w:rsidRPr="00F02641">
        <w:rPr>
          <w:rFonts w:eastAsia="標楷體"/>
        </w:rPr>
        <w:t>Stevi</w:t>
      </w:r>
      <w:proofErr w:type="spellEnd"/>
      <w:r w:rsidRPr="00F02641">
        <w:rPr>
          <w:rFonts w:eastAsia="標楷體"/>
        </w:rPr>
        <w:t xml:space="preserve"> Jackson</w:t>
      </w:r>
      <w:r w:rsidRPr="00F02641">
        <w:rPr>
          <w:rFonts w:eastAsia="標楷體"/>
        </w:rPr>
        <w:t>主講（</w:t>
      </w:r>
      <w:r w:rsidRPr="00F02641">
        <w:rPr>
          <w:rFonts w:eastAsia="標楷體"/>
        </w:rPr>
        <w:t>2005</w:t>
      </w:r>
      <w:r w:rsidRPr="00F02641">
        <w:rPr>
          <w:rFonts w:eastAsia="標楷體"/>
        </w:rPr>
        <w:t>）。性別、性與異性戀情慾。</w:t>
      </w:r>
      <w:r w:rsidRPr="00F02641">
        <w:rPr>
          <w:rFonts w:eastAsia="標楷體"/>
          <w:b/>
        </w:rPr>
        <w:t>婦</w:t>
      </w:r>
      <w:proofErr w:type="gramStart"/>
      <w:r w:rsidRPr="00F02641">
        <w:rPr>
          <w:rFonts w:eastAsia="標楷體"/>
          <w:b/>
        </w:rPr>
        <w:t>研</w:t>
      </w:r>
      <w:proofErr w:type="gramEnd"/>
      <w:r w:rsidRPr="00F02641">
        <w:rPr>
          <w:rFonts w:eastAsia="標楷體"/>
          <w:b/>
        </w:rPr>
        <w:t>縱橫，</w:t>
      </w:r>
      <w:r w:rsidRPr="00F02641">
        <w:rPr>
          <w:rFonts w:eastAsia="標楷體"/>
          <w:b/>
        </w:rPr>
        <w:t>75</w:t>
      </w:r>
      <w:r w:rsidRPr="00F02641">
        <w:rPr>
          <w:rFonts w:eastAsia="標楷體"/>
        </w:rPr>
        <w:t>：</w:t>
      </w:r>
      <w:r w:rsidRPr="00F02641">
        <w:rPr>
          <w:rFonts w:eastAsia="標楷體"/>
        </w:rPr>
        <w:t>88-96</w:t>
      </w:r>
      <w:r w:rsidRPr="00F02641">
        <w:rPr>
          <w:rFonts w:eastAsia="標楷體"/>
        </w:rPr>
        <w:t>。</w:t>
      </w:r>
    </w:p>
    <w:p w:rsidR="000C67FA" w:rsidRPr="00F02641" w:rsidRDefault="000C67FA" w:rsidP="000C67FA">
      <w:pPr>
        <w:ind w:left="540" w:hangingChars="225" w:hanging="540"/>
        <w:rPr>
          <w:rFonts w:eastAsia="標楷體"/>
          <w:shd w:val="pct15" w:color="auto" w:fill="FFFFFF"/>
        </w:rPr>
      </w:pPr>
      <w:r w:rsidRPr="00F02641">
        <w:rPr>
          <w:rFonts w:eastAsia="標楷體"/>
          <w:shd w:val="pct15" w:color="auto" w:fill="FFFFFF"/>
        </w:rPr>
        <w:lastRenderedPageBreak/>
        <w:t xml:space="preserve">bell hooks </w:t>
      </w:r>
      <w:r w:rsidRPr="00F02641">
        <w:rPr>
          <w:rFonts w:eastAsia="標楷體"/>
          <w:shd w:val="pct15" w:color="auto" w:fill="FFFFFF"/>
        </w:rPr>
        <w:t>原著，王敏雯譯（</w:t>
      </w:r>
      <w:r w:rsidRPr="00F02641">
        <w:rPr>
          <w:rFonts w:eastAsia="標楷體"/>
          <w:shd w:val="pct15" w:color="auto" w:fill="FFFFFF"/>
        </w:rPr>
        <w:t>2023</w:t>
      </w:r>
      <w:r w:rsidRPr="00F02641">
        <w:rPr>
          <w:rFonts w:eastAsia="標楷體"/>
          <w:shd w:val="pct15" w:color="auto" w:fill="FFFFFF"/>
        </w:rPr>
        <w:t>）。</w:t>
      </w:r>
      <w:r w:rsidRPr="00F02641">
        <w:rPr>
          <w:rFonts w:eastAsia="標楷體"/>
          <w:b/>
          <w:shd w:val="pct15" w:color="auto" w:fill="FFFFFF"/>
        </w:rPr>
        <w:t>關於愛的一切</w:t>
      </w:r>
      <w:r w:rsidRPr="00F02641">
        <w:rPr>
          <w:rFonts w:eastAsia="標楷體"/>
          <w:shd w:val="pct15" w:color="auto" w:fill="FFFFFF"/>
        </w:rPr>
        <w:t>。台北：遠流。</w:t>
      </w:r>
    </w:p>
    <w:p w:rsidR="000C67FA" w:rsidRPr="00F02641" w:rsidRDefault="000C67FA" w:rsidP="000C67FA">
      <w:pPr>
        <w:ind w:left="540" w:hangingChars="225" w:hanging="540"/>
        <w:rPr>
          <w:rFonts w:eastAsia="標楷體"/>
        </w:rPr>
      </w:pPr>
      <w:r w:rsidRPr="00F02641">
        <w:rPr>
          <w:rFonts w:eastAsia="標楷體"/>
        </w:rPr>
        <w:t>（</w:t>
      </w:r>
      <w:r w:rsidRPr="00F02641">
        <w:rPr>
          <w:rFonts w:eastAsia="標楷體"/>
        </w:rPr>
        <w:t>5/23</w:t>
      </w:r>
      <w:r w:rsidRPr="00F02641">
        <w:rPr>
          <w:rFonts w:eastAsia="標楷體"/>
        </w:rPr>
        <w:t>）課程改成參與</w:t>
      </w:r>
      <w:r w:rsidRPr="00F02641">
        <w:rPr>
          <w:rFonts w:eastAsia="標楷體"/>
        </w:rPr>
        <w:t xml:space="preserve"> (5/20</w:t>
      </w:r>
      <w:r w:rsidRPr="00F02641">
        <w:rPr>
          <w:rFonts w:eastAsia="標楷體"/>
        </w:rPr>
        <w:t>，</w:t>
      </w:r>
      <w:r w:rsidRPr="00F02641">
        <w:rPr>
          <w:rFonts w:eastAsia="標楷體"/>
        </w:rPr>
        <w:t xml:space="preserve">16:30-19:00) </w:t>
      </w:r>
      <w:r w:rsidRPr="00F02641">
        <w:rPr>
          <w:rFonts w:eastAsia="標楷體"/>
        </w:rPr>
        <w:t>黃淑玲教授演講</w:t>
      </w:r>
    </w:p>
    <w:p w:rsidR="000C67FA" w:rsidRPr="00F02641" w:rsidRDefault="000C67FA" w:rsidP="000C67FA">
      <w:pPr>
        <w:ind w:left="540" w:hangingChars="225" w:hanging="540"/>
        <w:rPr>
          <w:rFonts w:eastAsia="標楷體"/>
        </w:rPr>
      </w:pPr>
      <w:r w:rsidRPr="00F02641">
        <w:rPr>
          <w:rFonts w:eastAsia="標楷體"/>
        </w:rPr>
        <w:t>（</w:t>
      </w:r>
      <w:r w:rsidRPr="00F02641">
        <w:rPr>
          <w:rFonts w:eastAsia="標楷體"/>
        </w:rPr>
        <w:t>5/30</w:t>
      </w:r>
      <w:r w:rsidRPr="00F02641">
        <w:rPr>
          <w:rFonts w:eastAsia="標楷體"/>
        </w:rPr>
        <w:t>）分組專書</w:t>
      </w:r>
      <w:proofErr w:type="gramStart"/>
      <w:r w:rsidRPr="00F02641">
        <w:rPr>
          <w:rFonts w:eastAsia="標楷體"/>
        </w:rPr>
        <w:t>研</w:t>
      </w:r>
      <w:proofErr w:type="gramEnd"/>
      <w:r w:rsidRPr="00F02641">
        <w:rPr>
          <w:rFonts w:eastAsia="標楷體"/>
        </w:rPr>
        <w:t>讀報告</w:t>
      </w:r>
    </w:p>
    <w:p w:rsidR="000C67FA" w:rsidRPr="00F02641" w:rsidRDefault="000C67FA" w:rsidP="000C67FA">
      <w:pPr>
        <w:ind w:left="540" w:hangingChars="225" w:hanging="540"/>
        <w:rPr>
          <w:rFonts w:eastAsia="標楷體"/>
        </w:rPr>
      </w:pPr>
      <w:r w:rsidRPr="00F02641">
        <w:rPr>
          <w:rFonts w:eastAsia="標楷體"/>
        </w:rPr>
        <w:t xml:space="preserve">Boden, S. (2003). </w:t>
      </w:r>
      <w:r w:rsidRPr="00F02641">
        <w:rPr>
          <w:rFonts w:eastAsia="標楷體"/>
          <w:i/>
        </w:rPr>
        <w:t>Consumerism, romance and the wedding experience.</w:t>
      </w:r>
      <w:r w:rsidRPr="00F02641">
        <w:rPr>
          <w:rFonts w:eastAsia="標楷體"/>
        </w:rPr>
        <w:t xml:space="preserve"> New York: Palgrave Macmillan. </w:t>
      </w:r>
    </w:p>
    <w:p w:rsidR="000C67FA" w:rsidRPr="00F02641" w:rsidRDefault="000C67FA" w:rsidP="000C67FA">
      <w:pPr>
        <w:ind w:left="540" w:hangingChars="225" w:hanging="540"/>
        <w:rPr>
          <w:rFonts w:eastAsia="標楷體"/>
        </w:rPr>
      </w:pPr>
      <w:proofErr w:type="spellStart"/>
      <w:r w:rsidRPr="00F02641">
        <w:rPr>
          <w:rFonts w:eastAsia="標楷體"/>
        </w:rPr>
        <w:t>Illouz</w:t>
      </w:r>
      <w:proofErr w:type="spellEnd"/>
      <w:r w:rsidRPr="00F02641">
        <w:rPr>
          <w:rFonts w:eastAsia="標楷體"/>
        </w:rPr>
        <w:t xml:space="preserve">, E. (2012). </w:t>
      </w:r>
      <w:r w:rsidRPr="00F02641">
        <w:rPr>
          <w:rFonts w:eastAsia="標楷體"/>
          <w:i/>
        </w:rPr>
        <w:t>Why love hurts: A sociological explanation</w:t>
      </w:r>
      <w:r w:rsidRPr="00F02641">
        <w:rPr>
          <w:rFonts w:eastAsia="標楷體"/>
        </w:rPr>
        <w:t>. Polity.</w:t>
      </w:r>
    </w:p>
    <w:p w:rsidR="000C67FA" w:rsidRPr="00F02641" w:rsidRDefault="000C67FA" w:rsidP="000C67FA">
      <w:pPr>
        <w:ind w:left="540" w:hangingChars="225" w:hanging="540"/>
        <w:rPr>
          <w:rFonts w:eastAsia="標楷體"/>
        </w:rPr>
      </w:pPr>
      <w:proofErr w:type="spellStart"/>
      <w:r w:rsidRPr="00F02641">
        <w:rPr>
          <w:rFonts w:eastAsia="標楷體"/>
        </w:rPr>
        <w:t>Illouz</w:t>
      </w:r>
      <w:proofErr w:type="spellEnd"/>
      <w:r w:rsidRPr="00F02641">
        <w:rPr>
          <w:rFonts w:eastAsia="標楷體"/>
        </w:rPr>
        <w:t xml:space="preserve">, E. (2023). </w:t>
      </w:r>
      <w:r w:rsidRPr="00F02641">
        <w:rPr>
          <w:rFonts w:eastAsia="標楷體"/>
          <w:i/>
        </w:rPr>
        <w:t>Consuming the romantic utopia: Love and the cultural contradictions of capitalism</w:t>
      </w:r>
      <w:r w:rsidRPr="00F02641">
        <w:rPr>
          <w:rFonts w:eastAsia="標楷體"/>
        </w:rPr>
        <w:t>. Univ of California Press.</w:t>
      </w:r>
    </w:p>
    <w:p w:rsidR="000C67FA" w:rsidRPr="00F02641" w:rsidRDefault="000C67FA" w:rsidP="000C67FA">
      <w:pPr>
        <w:ind w:left="540" w:hangingChars="225" w:hanging="540"/>
        <w:rPr>
          <w:rFonts w:eastAsia="標楷體"/>
        </w:rPr>
      </w:pPr>
      <w:proofErr w:type="spellStart"/>
      <w:r w:rsidRPr="00F02641">
        <w:rPr>
          <w:rFonts w:eastAsia="標楷體"/>
        </w:rPr>
        <w:t>Jónasdóttir</w:t>
      </w:r>
      <w:proofErr w:type="spellEnd"/>
      <w:r w:rsidRPr="00F02641">
        <w:rPr>
          <w:rFonts w:eastAsia="標楷體"/>
        </w:rPr>
        <w:t xml:space="preserve">, A. G., &amp; Ferguson, A. (Eds.). (2013). </w:t>
      </w:r>
      <w:r w:rsidRPr="00F02641">
        <w:rPr>
          <w:rFonts w:eastAsia="標楷體"/>
          <w:i/>
        </w:rPr>
        <w:t xml:space="preserve">Love: </w:t>
      </w:r>
      <w:r w:rsidR="006C4FBD">
        <w:rPr>
          <w:rFonts w:eastAsia="標楷體" w:hint="eastAsia"/>
          <w:i/>
        </w:rPr>
        <w:t>A</w:t>
      </w:r>
      <w:r w:rsidRPr="00F02641">
        <w:rPr>
          <w:rFonts w:eastAsia="標楷體"/>
          <w:i/>
        </w:rPr>
        <w:t xml:space="preserve"> question for feminism in the twenty-first century</w:t>
      </w:r>
      <w:r w:rsidRPr="00F02641">
        <w:rPr>
          <w:rFonts w:eastAsia="標楷體"/>
        </w:rPr>
        <w:t>. Routledge.</w:t>
      </w:r>
    </w:p>
    <w:p w:rsidR="000C67FA" w:rsidRPr="00F02641" w:rsidRDefault="000C67FA" w:rsidP="000C67FA">
      <w:pPr>
        <w:ind w:left="540" w:hangingChars="225" w:hanging="540"/>
        <w:rPr>
          <w:rFonts w:eastAsia="標楷體"/>
        </w:rPr>
      </w:pPr>
      <w:r w:rsidRPr="00F02641">
        <w:rPr>
          <w:rFonts w:eastAsia="標楷體"/>
        </w:rPr>
        <w:t>（</w:t>
      </w:r>
      <w:r w:rsidRPr="00F02641">
        <w:rPr>
          <w:rFonts w:eastAsia="標楷體"/>
        </w:rPr>
        <w:t>6/13</w:t>
      </w:r>
      <w:r w:rsidRPr="00F02641">
        <w:rPr>
          <w:rFonts w:eastAsia="標楷體"/>
        </w:rPr>
        <w:t>）繳交專書</w:t>
      </w:r>
      <w:proofErr w:type="gramStart"/>
      <w:r w:rsidRPr="00F02641">
        <w:rPr>
          <w:rFonts w:eastAsia="標楷體"/>
        </w:rPr>
        <w:t>研</w:t>
      </w:r>
      <w:proofErr w:type="gramEnd"/>
      <w:r w:rsidRPr="00F02641">
        <w:rPr>
          <w:rFonts w:eastAsia="標楷體"/>
        </w:rPr>
        <w:t>讀期末報告</w:t>
      </w:r>
    </w:p>
    <w:sectPr w:rsidR="000C67FA" w:rsidRPr="00F02641">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E0F" w:rsidRDefault="00CC5E0F" w:rsidP="00BB3DEC">
      <w:r>
        <w:separator/>
      </w:r>
    </w:p>
  </w:endnote>
  <w:endnote w:type="continuationSeparator" w:id="0">
    <w:p w:rsidR="00CC5E0F" w:rsidRDefault="00CC5E0F" w:rsidP="00BB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156751"/>
      <w:docPartObj>
        <w:docPartGallery w:val="Page Numbers (Bottom of Page)"/>
        <w:docPartUnique/>
      </w:docPartObj>
    </w:sdtPr>
    <w:sdtEndPr/>
    <w:sdtContent>
      <w:p w:rsidR="00F91782" w:rsidRDefault="00F91782">
        <w:pPr>
          <w:pStyle w:val="a7"/>
          <w:jc w:val="center"/>
        </w:pPr>
        <w:r>
          <w:fldChar w:fldCharType="begin"/>
        </w:r>
        <w:r>
          <w:instrText>PAGE   \* MERGEFORMAT</w:instrText>
        </w:r>
        <w:r>
          <w:fldChar w:fldCharType="separate"/>
        </w:r>
        <w:r w:rsidRPr="00F91782">
          <w:rPr>
            <w:noProof/>
            <w:lang w:val="zh-TW"/>
          </w:rPr>
          <w:t>2</w:t>
        </w:r>
        <w:r>
          <w:fldChar w:fldCharType="end"/>
        </w:r>
      </w:p>
    </w:sdtContent>
  </w:sdt>
  <w:p w:rsidR="00F91782" w:rsidRDefault="00F917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E0F" w:rsidRDefault="00CC5E0F" w:rsidP="00BB3DEC">
      <w:r>
        <w:separator/>
      </w:r>
    </w:p>
  </w:footnote>
  <w:footnote w:type="continuationSeparator" w:id="0">
    <w:p w:rsidR="00CC5E0F" w:rsidRDefault="00CC5E0F" w:rsidP="00BB3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8EC2726"/>
    <w:lvl w:ilvl="0">
      <w:numFmt w:val="decimal"/>
      <w:lvlText w:val="*"/>
      <w:lvlJc w:val="left"/>
    </w:lvl>
  </w:abstractNum>
  <w:abstractNum w:abstractNumId="1" w15:restartNumberingAfterBreak="0">
    <w:nsid w:val="034109E1"/>
    <w:multiLevelType w:val="hybridMultilevel"/>
    <w:tmpl w:val="70D402E0"/>
    <w:lvl w:ilvl="0" w:tplc="B48E49E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F16A26"/>
    <w:multiLevelType w:val="hybridMultilevel"/>
    <w:tmpl w:val="E0BE66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AF535B6"/>
    <w:multiLevelType w:val="singleLevel"/>
    <w:tmpl w:val="7048DC42"/>
    <w:lvl w:ilvl="0">
      <w:start w:val="1"/>
      <w:numFmt w:val="taiwaneseCountingThousand"/>
      <w:lvlText w:val="%1、"/>
      <w:lvlJc w:val="left"/>
      <w:pPr>
        <w:tabs>
          <w:tab w:val="num" w:pos="480"/>
        </w:tabs>
        <w:ind w:left="480" w:hanging="480"/>
      </w:pPr>
      <w:rPr>
        <w:rFonts w:hint="eastAsia"/>
      </w:rPr>
    </w:lvl>
  </w:abstractNum>
  <w:abstractNum w:abstractNumId="4" w15:restartNumberingAfterBreak="0">
    <w:nsid w:val="46DE79B4"/>
    <w:multiLevelType w:val="hybridMultilevel"/>
    <w:tmpl w:val="0204C4C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BE64AB0"/>
    <w:multiLevelType w:val="hybridMultilevel"/>
    <w:tmpl w:val="FD4048F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7FA"/>
    <w:rsid w:val="000C67FA"/>
    <w:rsid w:val="004E6145"/>
    <w:rsid w:val="005005D5"/>
    <w:rsid w:val="005D2328"/>
    <w:rsid w:val="006C4FBD"/>
    <w:rsid w:val="00786564"/>
    <w:rsid w:val="009B2272"/>
    <w:rsid w:val="00A5717E"/>
    <w:rsid w:val="00BB3DEC"/>
    <w:rsid w:val="00C805AF"/>
    <w:rsid w:val="00CC5E0F"/>
    <w:rsid w:val="00E855D6"/>
    <w:rsid w:val="00F02641"/>
    <w:rsid w:val="00F917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3F82E2B-081C-4974-9EF9-3A6CA53F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67F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67FA"/>
    <w:rPr>
      <w:color w:val="0000FF"/>
      <w:u w:val="single"/>
    </w:rPr>
  </w:style>
  <w:style w:type="table" w:styleId="a4">
    <w:name w:val="Table Grid"/>
    <w:basedOn w:val="a1"/>
    <w:rsid w:val="000C67F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3DEC"/>
    <w:pPr>
      <w:tabs>
        <w:tab w:val="center" w:pos="4153"/>
        <w:tab w:val="right" w:pos="8306"/>
      </w:tabs>
      <w:snapToGrid w:val="0"/>
    </w:pPr>
    <w:rPr>
      <w:sz w:val="20"/>
      <w:szCs w:val="20"/>
    </w:rPr>
  </w:style>
  <w:style w:type="character" w:customStyle="1" w:styleId="a6">
    <w:name w:val="頁首 字元"/>
    <w:basedOn w:val="a0"/>
    <w:link w:val="a5"/>
    <w:uiPriority w:val="99"/>
    <w:rsid w:val="00BB3DEC"/>
    <w:rPr>
      <w:rFonts w:ascii="Times New Roman" w:eastAsia="新細明體" w:hAnsi="Times New Roman" w:cs="Times New Roman"/>
      <w:sz w:val="20"/>
      <w:szCs w:val="20"/>
    </w:rPr>
  </w:style>
  <w:style w:type="paragraph" w:styleId="a7">
    <w:name w:val="footer"/>
    <w:basedOn w:val="a"/>
    <w:link w:val="a8"/>
    <w:uiPriority w:val="99"/>
    <w:unhideWhenUsed/>
    <w:rsid w:val="00BB3DEC"/>
    <w:pPr>
      <w:tabs>
        <w:tab w:val="center" w:pos="4153"/>
        <w:tab w:val="right" w:pos="8306"/>
      </w:tabs>
      <w:snapToGrid w:val="0"/>
    </w:pPr>
    <w:rPr>
      <w:sz w:val="20"/>
      <w:szCs w:val="20"/>
    </w:rPr>
  </w:style>
  <w:style w:type="character" w:customStyle="1" w:styleId="a8">
    <w:name w:val="頁尾 字元"/>
    <w:basedOn w:val="a0"/>
    <w:link w:val="a7"/>
    <w:uiPriority w:val="99"/>
    <w:rsid w:val="00BB3DEC"/>
    <w:rPr>
      <w:rFonts w:ascii="Times New Roman" w:eastAsia="新細明體" w:hAnsi="Times New Roman" w:cs="Times New Roman"/>
      <w:sz w:val="20"/>
      <w:szCs w:val="20"/>
    </w:rPr>
  </w:style>
  <w:style w:type="paragraph" w:styleId="a9">
    <w:name w:val="Balloon Text"/>
    <w:basedOn w:val="a"/>
    <w:link w:val="aa"/>
    <w:uiPriority w:val="99"/>
    <w:semiHidden/>
    <w:unhideWhenUsed/>
    <w:rsid w:val="00C805A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805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wstreetcorn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2657</Words>
  <Characters>2752</Characters>
  <Application>Microsoft Office Word</Application>
  <DocSecurity>0</DocSecurity>
  <Lines>119</Lines>
  <Paragraphs>146</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KoPo-Sheng</cp:lastModifiedBy>
  <cp:revision>2</cp:revision>
  <cp:lastPrinted>2024-02-07T07:06:00Z</cp:lastPrinted>
  <dcterms:created xsi:type="dcterms:W3CDTF">2024-02-07T13:03:00Z</dcterms:created>
  <dcterms:modified xsi:type="dcterms:W3CDTF">2024-02-07T13:03:00Z</dcterms:modified>
</cp:coreProperties>
</file>